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太平湖镇</w:t>
      </w:r>
      <w:r>
        <w:rPr>
          <w:rFonts w:hint="eastAsia" w:ascii="方正小标宋简体" w:hAnsi="方正小标宋简体" w:eastAsia="方正小标宋简体" w:cs="方正小标宋简体"/>
          <w:sz w:val="44"/>
          <w:szCs w:val="44"/>
          <w:lang w:eastAsia="zh-CN"/>
        </w:rPr>
        <w:t>2023</w:t>
      </w:r>
      <w:r>
        <w:rPr>
          <w:rFonts w:hint="eastAsia" w:ascii="方正小标宋简体" w:hAnsi="方正小标宋简体" w:eastAsia="方正小标宋简体" w:cs="方正小标宋简体"/>
          <w:sz w:val="44"/>
          <w:szCs w:val="44"/>
        </w:rPr>
        <w:t>年防汛抗旱应急预案</w:t>
      </w:r>
    </w:p>
    <w:p>
      <w:pPr>
        <w:ind w:firstLine="640" w:firstLineChars="20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防汛抗旱工作事关人民群众生命财产安全，既是水利工作的重之重，更是以人为本，执政为民的重要体现。为建立有效的防汛抗旱社会保障体系，确保一旦发生较大的洪涝干旱灾害时能快速反应，迅速投入</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抢险救灾</w:t>
      </w:r>
      <w:r>
        <w:rPr>
          <w:rFonts w:hint="eastAsia" w:ascii="仿宋_GB2312" w:hAnsi="仿宋_GB2312" w:eastAsia="仿宋_GB2312" w:cs="仿宋_GB2312"/>
          <w:sz w:val="32"/>
          <w:szCs w:val="32"/>
          <w:lang w:eastAsia="zh-CN"/>
        </w:rPr>
        <w:t>工作中</w:t>
      </w:r>
      <w:r>
        <w:rPr>
          <w:rFonts w:hint="eastAsia" w:ascii="仿宋_GB2312" w:hAnsi="仿宋_GB2312" w:eastAsia="仿宋_GB2312" w:cs="仿宋_GB2312"/>
          <w:sz w:val="32"/>
          <w:szCs w:val="32"/>
        </w:rPr>
        <w:t>，使“防、抢、撤、救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各个环节形成有机整体。根据</w:t>
      </w:r>
      <w:r>
        <w:rPr>
          <w:rFonts w:hint="eastAsia" w:ascii="仿宋_GB2312" w:hAnsi="仿宋_GB2312" w:eastAsia="仿宋_GB2312" w:cs="仿宋_GB2312"/>
          <w:sz w:val="32"/>
          <w:szCs w:val="32"/>
          <w:lang w:eastAsia="zh-CN"/>
        </w:rPr>
        <w:t>区防汛抗旱指挥部</w:t>
      </w:r>
      <w:r>
        <w:rPr>
          <w:rFonts w:hint="eastAsia" w:ascii="仿宋_GB2312" w:hAnsi="仿宋_GB2312" w:eastAsia="仿宋_GB2312" w:cs="仿宋_GB2312"/>
          <w:sz w:val="32"/>
          <w:szCs w:val="32"/>
        </w:rPr>
        <w:t>要求，结合我镇实际情况，制定</w:t>
      </w:r>
      <w:r>
        <w:rPr>
          <w:rFonts w:hint="eastAsia" w:ascii="仿宋_GB2312" w:hAnsi="仿宋_GB2312" w:eastAsia="仿宋_GB2312" w:cs="仿宋_GB2312"/>
          <w:sz w:val="32"/>
          <w:szCs w:val="32"/>
          <w:lang w:eastAsia="zh-CN"/>
        </w:rPr>
        <w:t>我镇</w:t>
      </w:r>
      <w:r>
        <w:rPr>
          <w:rFonts w:hint="eastAsia" w:ascii="仿宋_GB2312" w:hAnsi="仿宋_GB2312" w:eastAsia="仿宋_GB2312" w:cs="仿宋_GB2312"/>
          <w:sz w:val="32"/>
          <w:szCs w:val="32"/>
        </w:rPr>
        <w:t>防汛抗旱</w:t>
      </w:r>
      <w:r>
        <w:rPr>
          <w:rFonts w:hint="eastAsia" w:ascii="仿宋_GB2312" w:hAnsi="仿宋_GB2312" w:eastAsia="仿宋_GB2312" w:cs="仿宋_GB2312"/>
          <w:sz w:val="32"/>
          <w:szCs w:val="32"/>
          <w:lang w:eastAsia="zh-CN"/>
        </w:rPr>
        <w:t>应急</w:t>
      </w:r>
      <w:r>
        <w:rPr>
          <w:rFonts w:hint="eastAsia" w:ascii="仿宋_GB2312" w:hAnsi="仿宋_GB2312" w:eastAsia="仿宋_GB2312" w:cs="仿宋_GB2312"/>
          <w:sz w:val="32"/>
          <w:szCs w:val="32"/>
        </w:rPr>
        <w:t>预案。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坚</w:t>
      </w:r>
      <w:r>
        <w:rPr>
          <w:rFonts w:hint="eastAsia" w:ascii="仿宋_GB2312" w:hAnsi="仿宋_GB2312" w:eastAsia="仿宋_GB2312" w:cs="仿宋_GB2312"/>
          <w:sz w:val="32"/>
          <w:szCs w:val="32"/>
        </w:rPr>
        <w:t>持以习近平新时代中国特色社会主义思想为指引，深入贯彻落实党的</w:t>
      </w:r>
      <w:r>
        <w:rPr>
          <w:rFonts w:hint="eastAsia" w:ascii="仿宋_GB2312" w:hAnsi="仿宋_GB2312" w:eastAsia="仿宋_GB2312" w:cs="仿宋_GB2312"/>
          <w:sz w:val="32"/>
          <w:szCs w:val="32"/>
          <w:lang w:eastAsia="zh-CN"/>
        </w:rPr>
        <w:t>二十大</w:t>
      </w:r>
      <w:r>
        <w:rPr>
          <w:rFonts w:hint="eastAsia" w:ascii="仿宋_GB2312" w:hAnsi="仿宋_GB2312" w:eastAsia="仿宋_GB2312" w:cs="仿宋_GB2312"/>
          <w:sz w:val="32"/>
          <w:szCs w:val="32"/>
        </w:rPr>
        <w:t>精神，紧紧围绕“以人为本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，以保障人民群众生命安全为中心、水库安全</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汛、山洪灾害防御和中小河流的防洪安全，扎实做好各项防汛抗旱工作，努力实现平安太平湖的总目标。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二、工作目标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确保所有水库不垮坝，确保区域内人民群众生命财产安全，确保不发生大面积的内涝，确保全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交通干线不受淹，确保一旦发生旱情人民生产生活用水不受影响。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太平湖镇总人口</w:t>
      </w:r>
      <w:r>
        <w:rPr>
          <w:rFonts w:ascii="仿宋_GB2312" w:hAnsi="仿宋_GB2312" w:eastAsia="仿宋_GB2312" w:cs="仿宋_GB2312"/>
          <w:sz w:val="32"/>
          <w:szCs w:val="32"/>
        </w:rPr>
        <w:t>9709</w:t>
      </w:r>
      <w:r>
        <w:rPr>
          <w:rFonts w:hint="eastAsia" w:ascii="仿宋_GB2312" w:hAnsi="仿宋_GB2312" w:eastAsia="仿宋_GB2312" w:cs="仿宋_GB2312"/>
          <w:sz w:val="32"/>
          <w:szCs w:val="32"/>
        </w:rPr>
        <w:t>人，居住区域较为集中。域内有三座小（二）型水库，分别为南安村南安水库、二都村唐家山水库和广阳村陵山水库。</w:t>
      </w:r>
      <w:r>
        <w:rPr>
          <w:rFonts w:hint="eastAsia" w:ascii="仿宋_GB2312" w:hAnsi="仿宋_GB2312" w:eastAsia="仿宋_GB2312" w:cs="仿宋_GB2312"/>
          <w:color w:val="auto"/>
          <w:sz w:val="32"/>
          <w:szCs w:val="32"/>
        </w:rPr>
        <w:t>其中南安水库总库容</w:t>
      </w:r>
      <w:r>
        <w:rPr>
          <w:rFonts w:ascii="仿宋_GB2312" w:hAnsi="仿宋_GB2312" w:eastAsia="仿宋_GB2312" w:cs="仿宋_GB2312"/>
          <w:color w:val="auto"/>
          <w:sz w:val="32"/>
          <w:szCs w:val="32"/>
        </w:rPr>
        <w:t>18.82</w:t>
      </w:r>
      <w:r>
        <w:rPr>
          <w:rFonts w:hint="eastAsia" w:ascii="仿宋_GB2312" w:hAnsi="仿宋_GB2312" w:eastAsia="仿宋_GB2312" w:cs="仿宋_GB2312"/>
          <w:color w:val="auto"/>
          <w:sz w:val="32"/>
          <w:szCs w:val="32"/>
        </w:rPr>
        <w:t>万立方米，灌溉面积</w:t>
      </w:r>
      <w:r>
        <w:rPr>
          <w:rFonts w:ascii="仿宋_GB2312" w:hAnsi="仿宋_GB2312" w:eastAsia="仿宋_GB2312" w:cs="仿宋_GB2312"/>
          <w:color w:val="auto"/>
          <w:sz w:val="32"/>
          <w:szCs w:val="32"/>
        </w:rPr>
        <w:t>500</w:t>
      </w:r>
      <w:r>
        <w:rPr>
          <w:rFonts w:hint="eastAsia" w:ascii="仿宋_GB2312" w:hAnsi="仿宋_GB2312" w:eastAsia="仿宋_GB2312" w:cs="仿宋_GB2312"/>
          <w:color w:val="auto"/>
          <w:sz w:val="32"/>
          <w:szCs w:val="32"/>
        </w:rPr>
        <w:t>亩，</w:t>
      </w:r>
      <w:r>
        <w:rPr>
          <w:rFonts w:hint="eastAsia" w:ascii="仿宋_GB2312" w:hAnsi="仿宋_GB2312" w:eastAsia="仿宋_GB2312" w:cs="仿宋_GB2312"/>
          <w:color w:val="auto"/>
          <w:sz w:val="32"/>
          <w:szCs w:val="32"/>
          <w:lang w:eastAsia="zh-CN"/>
        </w:rPr>
        <w:t>受威胁人口</w:t>
      </w:r>
      <w:r>
        <w:rPr>
          <w:rFonts w:hint="eastAsia" w:ascii="仿宋_GB2312" w:hAnsi="仿宋_GB2312" w:eastAsia="仿宋_GB2312" w:cs="仿宋_GB2312"/>
          <w:color w:val="auto"/>
          <w:sz w:val="32"/>
          <w:szCs w:val="32"/>
          <w:lang w:val="en-US" w:eastAsia="zh-CN"/>
        </w:rPr>
        <w:t>221人63户</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2012</w:t>
      </w:r>
      <w:r>
        <w:rPr>
          <w:rFonts w:hint="eastAsia" w:ascii="仿宋_GB2312" w:hAnsi="仿宋_GB2312" w:eastAsia="仿宋_GB2312" w:cs="仿宋_GB2312"/>
          <w:color w:val="auto"/>
          <w:sz w:val="32"/>
          <w:szCs w:val="32"/>
        </w:rPr>
        <w:t>年除险加固；唐家山水库总库容</w:t>
      </w:r>
      <w:r>
        <w:rPr>
          <w:rFonts w:ascii="仿宋_GB2312" w:hAnsi="仿宋_GB2312" w:eastAsia="仿宋_GB2312" w:cs="仿宋_GB2312"/>
          <w:color w:val="auto"/>
          <w:sz w:val="32"/>
          <w:szCs w:val="32"/>
        </w:rPr>
        <w:t>46.8</w:t>
      </w:r>
      <w:r>
        <w:rPr>
          <w:rFonts w:hint="eastAsia" w:ascii="仿宋_GB2312" w:hAnsi="仿宋_GB2312" w:eastAsia="仿宋_GB2312" w:cs="仿宋_GB2312"/>
          <w:color w:val="auto"/>
          <w:sz w:val="32"/>
          <w:szCs w:val="32"/>
        </w:rPr>
        <w:t>万立方米，灌溉面积</w:t>
      </w:r>
      <w:r>
        <w:rPr>
          <w:rFonts w:ascii="仿宋_GB2312" w:hAnsi="仿宋_GB2312" w:eastAsia="仿宋_GB2312" w:cs="仿宋_GB2312"/>
          <w:color w:val="auto"/>
          <w:sz w:val="32"/>
          <w:szCs w:val="32"/>
        </w:rPr>
        <w:t>700</w:t>
      </w:r>
      <w:r>
        <w:rPr>
          <w:rFonts w:hint="eastAsia" w:ascii="仿宋_GB2312" w:hAnsi="仿宋_GB2312" w:eastAsia="仿宋_GB2312" w:cs="仿宋_GB2312"/>
          <w:color w:val="auto"/>
          <w:sz w:val="32"/>
          <w:szCs w:val="32"/>
        </w:rPr>
        <w:t>亩，</w:t>
      </w:r>
      <w:r>
        <w:rPr>
          <w:rFonts w:hint="eastAsia" w:ascii="仿宋_GB2312" w:hAnsi="仿宋_GB2312" w:eastAsia="仿宋_GB2312" w:cs="仿宋_GB2312"/>
          <w:color w:val="auto"/>
          <w:sz w:val="32"/>
          <w:szCs w:val="32"/>
          <w:lang w:eastAsia="zh-CN"/>
        </w:rPr>
        <w:t>受威胁人口</w:t>
      </w:r>
      <w:r>
        <w:rPr>
          <w:rFonts w:hint="eastAsia" w:ascii="仿宋_GB2312" w:hAnsi="仿宋_GB2312" w:eastAsia="仿宋_GB2312" w:cs="仿宋_GB2312"/>
          <w:color w:val="auto"/>
          <w:sz w:val="32"/>
          <w:szCs w:val="32"/>
          <w:lang w:val="en-US" w:eastAsia="zh-CN"/>
        </w:rPr>
        <w:t>28人8户</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2011</w:t>
      </w:r>
      <w:r>
        <w:rPr>
          <w:rFonts w:hint="eastAsia" w:ascii="仿宋_GB2312" w:hAnsi="仿宋_GB2312" w:eastAsia="仿宋_GB2312" w:cs="仿宋_GB2312"/>
          <w:color w:val="auto"/>
          <w:sz w:val="32"/>
          <w:szCs w:val="32"/>
        </w:rPr>
        <w:t>年除险加固；陵山水库总库容</w:t>
      </w:r>
      <w:r>
        <w:rPr>
          <w:rFonts w:hint="eastAsia" w:ascii="仿宋_GB2312" w:hAnsi="仿宋_GB2312" w:eastAsia="仿宋_GB2312" w:cs="仿宋_GB2312"/>
          <w:color w:val="auto"/>
          <w:sz w:val="32"/>
          <w:szCs w:val="32"/>
          <w:lang w:val="en-US" w:eastAsia="zh-CN"/>
        </w:rPr>
        <w:t>23.84</w:t>
      </w:r>
      <w:r>
        <w:rPr>
          <w:rFonts w:hint="eastAsia" w:ascii="仿宋_GB2312" w:hAnsi="仿宋_GB2312" w:eastAsia="仿宋_GB2312" w:cs="仿宋_GB2312"/>
          <w:color w:val="auto"/>
          <w:sz w:val="32"/>
          <w:szCs w:val="32"/>
        </w:rPr>
        <w:t>万立方米，灌溉面积</w:t>
      </w:r>
      <w:r>
        <w:rPr>
          <w:rFonts w:ascii="仿宋_GB2312" w:hAnsi="仿宋_GB2312" w:eastAsia="仿宋_GB2312" w:cs="仿宋_GB2312"/>
          <w:color w:val="auto"/>
          <w:sz w:val="32"/>
          <w:szCs w:val="32"/>
        </w:rPr>
        <w:t>500</w:t>
      </w:r>
      <w:r>
        <w:rPr>
          <w:rFonts w:hint="eastAsia" w:ascii="仿宋_GB2312" w:hAnsi="仿宋_GB2312" w:eastAsia="仿宋_GB2312" w:cs="仿宋_GB2312"/>
          <w:color w:val="auto"/>
          <w:sz w:val="32"/>
          <w:szCs w:val="32"/>
        </w:rPr>
        <w:t>亩，</w:t>
      </w:r>
      <w:r>
        <w:rPr>
          <w:rFonts w:hint="eastAsia" w:ascii="仿宋_GB2312" w:hAnsi="仿宋_GB2312" w:eastAsia="仿宋_GB2312" w:cs="仿宋_GB2312"/>
          <w:color w:val="auto"/>
          <w:sz w:val="32"/>
          <w:szCs w:val="32"/>
          <w:lang w:eastAsia="zh-CN"/>
        </w:rPr>
        <w:t>受威胁人口</w:t>
      </w:r>
      <w:r>
        <w:rPr>
          <w:rFonts w:hint="eastAsia" w:ascii="仿宋_GB2312" w:hAnsi="仿宋_GB2312" w:eastAsia="仿宋_GB2312" w:cs="仿宋_GB2312"/>
          <w:color w:val="auto"/>
          <w:sz w:val="32"/>
          <w:szCs w:val="32"/>
          <w:lang w:val="en-US" w:eastAsia="zh-CN"/>
        </w:rPr>
        <w:t>178人52户</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2011</w:t>
      </w:r>
      <w:r>
        <w:rPr>
          <w:rFonts w:hint="eastAsia" w:ascii="仿宋_GB2312" w:hAnsi="仿宋_GB2312" w:eastAsia="仿宋_GB2312" w:cs="仿宋_GB2312"/>
          <w:color w:val="auto"/>
          <w:sz w:val="32"/>
          <w:szCs w:val="32"/>
        </w:rPr>
        <w:t>年除险加固。另外有山塘</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4座，其中库容在</w:t>
      </w: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万立方米以上的山塘</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座，</w:t>
      </w:r>
      <w:r>
        <w:rPr>
          <w:rFonts w:hint="eastAsia" w:ascii="仿宋_GB2312" w:hAnsi="仿宋_GB2312" w:eastAsia="仿宋_GB2312" w:cs="仿宋_GB2312"/>
          <w:sz w:val="32"/>
          <w:szCs w:val="32"/>
        </w:rPr>
        <w:t>分别为广阳大雾冲山塘、和平尖山山塘、</w:t>
      </w:r>
      <w:r>
        <w:rPr>
          <w:rFonts w:hint="eastAsia" w:ascii="仿宋_GB2312" w:hAnsi="仿宋_GB2312" w:eastAsia="仿宋_GB2312" w:cs="仿宋_GB2312"/>
          <w:sz w:val="32"/>
          <w:szCs w:val="32"/>
          <w:lang w:eastAsia="zh-CN"/>
        </w:rPr>
        <w:t>和平</w:t>
      </w:r>
      <w:r>
        <w:rPr>
          <w:rFonts w:hint="eastAsia" w:ascii="仿宋_GB2312" w:hAnsi="仿宋_GB2312" w:eastAsia="仿宋_GB2312" w:cs="仿宋_GB2312"/>
          <w:sz w:val="32"/>
          <w:szCs w:val="32"/>
        </w:rPr>
        <w:t>熊田十亩塘，其中和平尖山山塘存在的安全隐患最高，水库上游为十多里地的山坳，其位于尖山村民组上游，下游尖山组村民沿河居住，人口</w:t>
      </w:r>
      <w:r>
        <w:rPr>
          <w:rFonts w:hint="eastAsia" w:ascii="仿宋_GB2312" w:hAnsi="仿宋_GB2312" w:eastAsia="仿宋_GB2312" w:cs="仿宋_GB2312"/>
          <w:sz w:val="32"/>
          <w:szCs w:val="32"/>
          <w:lang w:val="en-US" w:eastAsia="zh-CN"/>
        </w:rPr>
        <w:t>77</w:t>
      </w:r>
      <w:r>
        <w:rPr>
          <w:rFonts w:hint="eastAsia" w:ascii="仿宋_GB2312" w:hAnsi="仿宋_GB2312" w:eastAsia="仿宋_GB2312" w:cs="仿宋_GB2312"/>
          <w:sz w:val="32"/>
          <w:szCs w:val="32"/>
        </w:rPr>
        <w:t>人。如遭遇山洪泥石流，下游</w:t>
      </w:r>
      <w:r>
        <w:rPr>
          <w:rFonts w:hint="eastAsia" w:ascii="仿宋_GB2312" w:hAnsi="仿宋_GB2312" w:eastAsia="仿宋_GB2312" w:cs="仿宋_GB2312"/>
          <w:sz w:val="32"/>
          <w:szCs w:val="32"/>
          <w:lang w:val="en-US" w:eastAsia="zh-CN"/>
        </w:rPr>
        <w:t>77</w:t>
      </w:r>
      <w:r>
        <w:rPr>
          <w:rFonts w:hint="eastAsia" w:ascii="仿宋_GB2312" w:hAnsi="仿宋_GB2312" w:eastAsia="仿宋_GB2312" w:cs="仿宋_GB2312"/>
          <w:sz w:val="32"/>
          <w:szCs w:val="32"/>
        </w:rPr>
        <w:t>人的生命财产将受到严重威胁。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四、组织机构及职责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、突击抢险组：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rPr>
        <w:t>吴州、项俊、孙斌、袁文泉、方卫忠、</w:t>
      </w:r>
      <w:r>
        <w:rPr>
          <w:rFonts w:hint="eastAsia" w:ascii="仿宋_GB2312" w:hAnsi="仿宋_GB2312" w:eastAsia="仿宋_GB2312" w:cs="仿宋_GB2312"/>
          <w:sz w:val="32"/>
          <w:szCs w:val="32"/>
          <w:lang w:eastAsia="zh-CN"/>
        </w:rPr>
        <w:t>黄金兵、</w:t>
      </w:r>
      <w:r>
        <w:rPr>
          <w:rFonts w:hint="eastAsia" w:ascii="仿宋_GB2312" w:hAnsi="仿宋_GB2312" w:eastAsia="仿宋_GB2312" w:cs="仿宋_GB2312"/>
          <w:color w:val="000000" w:themeColor="text1"/>
          <w:sz w:val="32"/>
          <w:szCs w:val="32"/>
          <w:lang w:eastAsia="zh-CN"/>
        </w:rPr>
        <w:t>吴加、鲁敏</w:t>
      </w:r>
      <w:r>
        <w:rPr>
          <w:rFonts w:hint="eastAsia" w:ascii="仿宋_GB2312" w:hAnsi="仿宋_GB2312" w:eastAsia="仿宋_GB2312" w:cs="仿宋_GB2312"/>
          <w:sz w:val="32"/>
          <w:szCs w:val="32"/>
          <w:lang w:eastAsia="zh-CN"/>
        </w:rPr>
        <w:t>、胡松、朱大为、</w:t>
      </w:r>
      <w:r>
        <w:rPr>
          <w:rFonts w:hint="eastAsia" w:ascii="仿宋_GB2312" w:hAnsi="仿宋_GB2312" w:eastAsia="仿宋_GB2312" w:cs="仿宋_GB2312"/>
          <w:color w:val="000000" w:themeColor="text1"/>
          <w:sz w:val="32"/>
          <w:szCs w:val="32"/>
          <w:lang w:eastAsia="zh-CN"/>
        </w:rPr>
        <w:t>赵梁、</w:t>
      </w:r>
      <w:r>
        <w:rPr>
          <w:rFonts w:hint="eastAsia" w:ascii="仿宋_GB2312" w:hAnsi="仿宋_GB2312" w:eastAsia="仿宋_GB2312" w:cs="仿宋_GB2312"/>
          <w:sz w:val="32"/>
          <w:szCs w:val="32"/>
        </w:rPr>
        <w:t>叶涛、</w:t>
      </w:r>
      <w:r>
        <w:rPr>
          <w:rFonts w:hint="eastAsia" w:ascii="仿宋_GB2312" w:hAnsi="仿宋_GB2312" w:eastAsia="仿宋_GB2312" w:cs="仿宋_GB2312"/>
          <w:sz w:val="32"/>
          <w:szCs w:val="32"/>
          <w:lang w:eastAsia="zh-CN"/>
        </w:rPr>
        <w:t>金一凡、张萍、汤建华、</w:t>
      </w:r>
      <w:r>
        <w:rPr>
          <w:rFonts w:hint="eastAsia" w:ascii="仿宋_GB2312" w:hAnsi="仿宋_GB2312" w:eastAsia="仿宋_GB2312" w:cs="仿宋_GB2312"/>
          <w:sz w:val="32"/>
          <w:szCs w:val="32"/>
        </w:rPr>
        <w:t>程东华、</w:t>
      </w:r>
      <w:r>
        <w:rPr>
          <w:rFonts w:hint="eastAsia" w:ascii="仿宋_GB2312" w:hAnsi="仿宋_GB2312" w:eastAsia="仿宋_GB2312" w:cs="仿宋_GB2312"/>
          <w:sz w:val="32"/>
          <w:szCs w:val="32"/>
          <w:lang w:eastAsia="zh-CN"/>
        </w:rPr>
        <w:t>吴建新</w:t>
      </w:r>
      <w:r>
        <w:rPr>
          <w:rFonts w:hint="eastAsia" w:ascii="仿宋_GB2312" w:hAnsi="仿宋_GB2312" w:eastAsia="仿宋_GB2312" w:cs="仿宋_GB2312"/>
          <w:sz w:val="32"/>
          <w:szCs w:val="32"/>
        </w:rPr>
        <w:t>、杨坤鹏、高申、</w:t>
      </w:r>
      <w:r>
        <w:rPr>
          <w:rFonts w:hint="eastAsia" w:ascii="仿宋_GB2312" w:hAnsi="仿宋_GB2312" w:eastAsia="仿宋_GB2312" w:cs="仿宋_GB2312"/>
          <w:sz w:val="32"/>
          <w:szCs w:val="32"/>
          <w:lang w:eastAsia="zh-CN"/>
        </w:rPr>
        <w:t>葛瑞磊</w:t>
      </w:r>
      <w:r>
        <w:rPr>
          <w:rFonts w:hint="eastAsia" w:ascii="仿宋_GB2312" w:hAnsi="仿宋_GB2312" w:eastAsia="仿宋_GB2312" w:cs="仿宋_GB2312"/>
          <w:sz w:val="32"/>
          <w:szCs w:val="32"/>
        </w:rPr>
        <w:t>、方向、</w:t>
      </w:r>
      <w:r>
        <w:rPr>
          <w:rFonts w:hint="eastAsia" w:ascii="仿宋_GB2312" w:hAnsi="仿宋_GB2312" w:eastAsia="仿宋_GB2312" w:cs="仿宋_GB2312"/>
          <w:sz w:val="32"/>
          <w:szCs w:val="32"/>
          <w:lang w:eastAsia="zh-CN"/>
        </w:rPr>
        <w:t>张高寿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周岩</w:t>
      </w:r>
      <w:r>
        <w:rPr>
          <w:rFonts w:hint="eastAsia" w:ascii="仿宋_GB2312" w:hAnsi="仿宋_GB2312" w:eastAsia="仿宋_GB2312" w:cs="仿宋_GB2312"/>
          <w:sz w:val="32"/>
          <w:szCs w:val="32"/>
        </w:rPr>
        <w:t>、胡俊、</w:t>
      </w:r>
      <w:r>
        <w:rPr>
          <w:rFonts w:hint="eastAsia" w:ascii="仿宋_GB2312" w:hAnsi="仿宋_GB2312" w:eastAsia="仿宋_GB2312" w:cs="仿宋_GB2312"/>
          <w:sz w:val="32"/>
          <w:szCs w:val="32"/>
          <w:lang w:eastAsia="zh-CN"/>
        </w:rPr>
        <w:t>钱兆全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陈炟</w:t>
      </w:r>
      <w:r>
        <w:rPr>
          <w:rFonts w:hint="eastAsia" w:ascii="仿宋_GB2312" w:hAnsi="仿宋_GB2312" w:eastAsia="仿宋_GB2312" w:cs="仿宋_GB2312"/>
          <w:sz w:val="32"/>
          <w:szCs w:val="32"/>
        </w:rPr>
        <w:t>、颜红星、</w:t>
      </w:r>
      <w:r>
        <w:rPr>
          <w:rFonts w:hint="eastAsia" w:ascii="仿宋_GB2312" w:hAnsi="仿宋_GB2312" w:eastAsia="仿宋_GB2312" w:cs="仿宋_GB2312"/>
          <w:sz w:val="32"/>
          <w:szCs w:val="32"/>
          <w:lang w:eastAsia="zh-CN"/>
        </w:rPr>
        <w:t>杨立</w:t>
      </w:r>
      <w:r>
        <w:rPr>
          <w:rFonts w:hint="eastAsia" w:ascii="仿宋_GB2312" w:hAnsi="仿宋_GB2312" w:eastAsia="仿宋_GB2312" w:cs="仿宋_GB2312"/>
          <w:sz w:val="32"/>
          <w:szCs w:val="32"/>
        </w:rPr>
        <w:t>、张大龙、王庆辉、杨明伍</w:t>
      </w:r>
      <w:r>
        <w:rPr>
          <w:rFonts w:hint="eastAsia" w:ascii="仿宋_GB2312" w:hAnsi="仿宋_GB2312" w:eastAsia="仿宋_GB2312" w:cs="仿宋_GB2312"/>
          <w:sz w:val="32"/>
          <w:szCs w:val="32"/>
          <w:lang w:eastAsia="zh-CN"/>
        </w:rPr>
        <w:t>、汪珏</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、后勤保障组：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孙斌</w:t>
      </w:r>
      <w:r>
        <w:rPr>
          <w:rFonts w:hint="eastAsia" w:ascii="仿宋_GB2312" w:hAnsi="仿宋_GB2312" w:eastAsia="仿宋_GB2312" w:cs="仿宋_GB2312"/>
          <w:sz w:val="32"/>
          <w:szCs w:val="32"/>
        </w:rPr>
        <w:t>、汪燕琴、</w:t>
      </w:r>
      <w:r>
        <w:rPr>
          <w:rFonts w:hint="eastAsia" w:ascii="仿宋_GB2312" w:hAnsi="仿宋_GB2312" w:eastAsia="仿宋_GB2312" w:cs="仿宋_GB2312"/>
          <w:sz w:val="32"/>
          <w:szCs w:val="32"/>
          <w:lang w:eastAsia="zh-CN"/>
        </w:rPr>
        <w:t>王颖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李卉、程媛媛。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、治安保障组：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黄金兵、王明明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项超、黄焘、周勇刚。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、医疗卫生救助组：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程薇、江社友、郑国民。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五、临时安置救助地点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themeColor="text1"/>
          <w:sz w:val="32"/>
          <w:szCs w:val="32"/>
        </w:rPr>
        <w:t>镇政府、各村村委会、</w:t>
      </w:r>
      <w:r>
        <w:rPr>
          <w:rFonts w:hint="eastAsia" w:ascii="仿宋_GB2312" w:hAnsi="仿宋_GB2312" w:eastAsia="仿宋_GB2312" w:cs="仿宋_GB2312"/>
          <w:color w:val="000000" w:themeColor="text1"/>
          <w:sz w:val="32"/>
          <w:szCs w:val="32"/>
          <w:lang w:eastAsia="zh-CN"/>
        </w:rPr>
        <w:t>广阳敬老院、和平街老粮站、南安农贸市场。</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应急响应</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、应急响应的总体要求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）按洪涝、旱灾的严重程度和范围，将应急响应行动分为四级。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）进入汛期、旱期，镇防汛抗旱指挥部实行</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小时值班，全程跟踪雨情、水情、工情、旱情、灾情，并根据不同情况启动相关应急程序。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）指挥部负责全镇小（二）型水库、山塘水库、防洪工程调度。指挥部各成员单位应按照指挥部的统一部署和职责分工开展工作并及时报告有关工作情况。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）洪涝、干旱等灾害发生后，由指挥部负责组织实施抗洪抢险、排涝、抗旱减灾和抗灾救灾等方面的工作。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）洪涝、干旱等灾害发生后，由镇政府和镇指挥部向区政府和区指挥部报告情况。造成人员伤亡的突发事件，可越级上报并同时报区指挥部。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）对区域内发生的水旱灾害，或者突发事件将影响到邻近乡镇的，在报告镇政府和镇指挥部的同时，应及时向影响地区的防汛抗旱指挥机构通报情况。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因水旱灾害而衍生的疾病流行、水陆交通事故等次生灾害，镇防汛抗旱指挥部应组织有关部门全力抢救和处置，采取有效措施切断灾害扩大的传播链，防止次生或衍生灾害的蔓延，并及时向镇政府和镇指挥部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、Ⅰ级应急响应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）出现下列情况之一者，为Ⅰ级响应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①某个区域发生特大洪水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②多个区域同时发生大洪水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③重点（二）型水库、山塘发生垮坝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④多个村发生特大干旱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）Ⅰ级响应行动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镇指挥部宣布进入紧急防汛期，按照权限指挥调度重大水利、防洪工程，与相关村共同组织实施应急预案，及时向区防总报告；镇指挥部加强值班和宣传，每天各村通报汛旱情；镇指挥部成员单位按照职责分工，全力配合做好防汛抗旱和抗灾救灾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②受灾地区的各村防汛抗旱指挥机构具体负责组织实施相关应急预案，按照权限调度所属水利、防洪工程，转移危险地区群众，组织强化巡堤查险和工程防守，做好防汛抗旱工作，并及时向镇指挥部报告。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、Ⅱ级应急响应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）出现下列情况之一者，为Ⅱ级响应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①某个区域发生大洪水；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②重要河段堤防发生决口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③多个村发生严重洪涝灾害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④重点小（二）型水库、山塘发生垮坝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⑤多个区域发生严重干旱或一个区域发生特大干旱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）Ⅱ级响应行动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镇指挥部依法宣布进入紧急防汛期，按照权限指挥调度重大水利、防洪工程，与相关村共同组织实施应急预案，及时向区防总报告；镇指挥部加强值班和宣传，每天各村通报汛旱情；镇指挥部成员单位按照职责分工，全力配合做好防汛抗旱和抗灾救灾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②受灾地区的各村防汛抗旱指挥机构具体负责组织实施相关应急预案，按照权限调度所属水利、防洪工程，转移危险地区群众，组织强化巡堤查险和工程防守，做好防汛抗旱工作，并及时向镇指挥部报告。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、Ⅲ级应急响应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）出现下列情况之一者，为Ⅲ级响应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①重点小（二）型水库、山塘水库等发生大洪水；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②多个区域同时发生较大洪水；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③重点小（二）型水库、山塘发生垮坝；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④多个区域发生中度干旱。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）Ⅲ级响应行动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指挥部宣布进入紧急防汛期，按照权限指挥调度重大水利、防洪工程，与相关村共同组织实施应急预案，及时向区防总报告；镇指挥部加强值班和宣传，每天各村通报汛旱情；镇指挥部成员单位按照职责分工，全力配合做好防汛抗旱和抗灾救灾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②受灾地区的各村防汛抗旱指挥机构具体负责组织实施相关应急预案，按照权限调度所属水利、防洪工程，转移危险地区群众，组织强化巡堤查险和工程防守，做好防汛抗旱工作，并及时向镇指挥部报告。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、Ⅳ级应急响应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）出现下列情况之一者，为Ⅳ级响应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①某区域发生较大洪水；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②多个区域发生较大洪水；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③重点提防出现较大险情或出现重大险情；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④重点小（二）型水库出现较大险情或山塘水库出现重大险情；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⑤多个区域发生轻度干旱。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）Ⅳ级响应行动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镇指挥部宣布进入紧急防汛期，按照权限指挥调度重大水利、防洪工程，与相关村共同组织实施应急预案，及时向区防总报告；镇指挥部加强值班和宣传，每天各村通报汛旱情；镇指挥部成员单位按照职责分工，全力配合做好防汛抗旱和抗灾救灾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②受灾地区的各村防汛抗旱指挥机构具体负责组织实施相关应急预案，按照权限调度所属水利、防洪工程，转移危险地区群众，组织强化巡堤查险和工程防守，做好防汛抗旱工作，并及时向镇指挥部报告。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七、纪律要求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、服从镇防总的统一指挥调度，在统一指挥和调度下，各工作组协调工作，确保任务全面完成。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、在防汛抢险期间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各工作人员必须坚持岗位，如需离岗必须向镇党委、政府主要领导请假。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、在防汛抢险实际工作中，工作组人员必须靠前指挥和工作，切实担起自己的工作重任，履行好自己的职责。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、任何单位和个人不得阻碍防汛工作人员执行任务，不得散布不利防汛抢险工作的舆论。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、为确保人民群众的生命和财产安全，对拒绝财产和人员转移的将依法采取强制措施，</w:t>
      </w:r>
      <w:r>
        <w:rPr>
          <w:rFonts w:hint="eastAsia" w:ascii="仿宋_GB2312" w:hAnsi="仿宋_GB2312" w:eastAsia="仿宋_GB2312" w:cs="仿宋_GB2312"/>
          <w:sz w:val="32"/>
          <w:szCs w:val="32"/>
          <w:lang w:eastAsia="zh-CN"/>
        </w:rPr>
        <w:t>继续</w:t>
      </w:r>
      <w:r>
        <w:rPr>
          <w:rFonts w:hint="eastAsia" w:ascii="仿宋_GB2312" w:hAnsi="仿宋_GB2312" w:eastAsia="仿宋_GB2312" w:cs="仿宋_GB2312"/>
          <w:sz w:val="32"/>
          <w:szCs w:val="32"/>
        </w:rPr>
        <w:t>进行人员和财产转移。</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67357"/>
    <w:multiLevelType w:val="singleLevel"/>
    <w:tmpl w:val="8AE6735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FkMzRmMmY3ZmRkMTZiOThhM2Q1NTI3ZDJiNmE0MmYifQ=="/>
  </w:docVars>
  <w:rsids>
    <w:rsidRoot w:val="5D1F1C9F"/>
    <w:rsid w:val="000424C0"/>
    <w:rsid w:val="000C3E02"/>
    <w:rsid w:val="001179D4"/>
    <w:rsid w:val="001464C5"/>
    <w:rsid w:val="00150D78"/>
    <w:rsid w:val="002127F8"/>
    <w:rsid w:val="00295ED1"/>
    <w:rsid w:val="003A14E7"/>
    <w:rsid w:val="004528BA"/>
    <w:rsid w:val="004547DD"/>
    <w:rsid w:val="00646C88"/>
    <w:rsid w:val="00694420"/>
    <w:rsid w:val="007B2FC0"/>
    <w:rsid w:val="00876DD5"/>
    <w:rsid w:val="008864D3"/>
    <w:rsid w:val="0097070F"/>
    <w:rsid w:val="009C37B2"/>
    <w:rsid w:val="009D0E07"/>
    <w:rsid w:val="00A1231C"/>
    <w:rsid w:val="00B3213D"/>
    <w:rsid w:val="00B47C82"/>
    <w:rsid w:val="00BB5D62"/>
    <w:rsid w:val="00D95EB0"/>
    <w:rsid w:val="00E06E88"/>
    <w:rsid w:val="00EC5738"/>
    <w:rsid w:val="00F15A91"/>
    <w:rsid w:val="00F66792"/>
    <w:rsid w:val="00FD2F1B"/>
    <w:rsid w:val="0C6F6C19"/>
    <w:rsid w:val="15E8053C"/>
    <w:rsid w:val="196D6BA2"/>
    <w:rsid w:val="1D0B7A76"/>
    <w:rsid w:val="2119705F"/>
    <w:rsid w:val="24084261"/>
    <w:rsid w:val="26310C33"/>
    <w:rsid w:val="26DE48FC"/>
    <w:rsid w:val="2B130B77"/>
    <w:rsid w:val="2BAC0937"/>
    <w:rsid w:val="2D3A458A"/>
    <w:rsid w:val="3155093A"/>
    <w:rsid w:val="330E7428"/>
    <w:rsid w:val="3F3E6BE6"/>
    <w:rsid w:val="433C3B75"/>
    <w:rsid w:val="43736A27"/>
    <w:rsid w:val="496472AF"/>
    <w:rsid w:val="51DC2CF4"/>
    <w:rsid w:val="5AEB0A6F"/>
    <w:rsid w:val="5D1F1C9F"/>
    <w:rsid w:val="611515C6"/>
    <w:rsid w:val="61FB3C4C"/>
    <w:rsid w:val="62003344"/>
    <w:rsid w:val="625A076A"/>
    <w:rsid w:val="64EB5A28"/>
    <w:rsid w:val="6BBE646D"/>
    <w:rsid w:val="7166752C"/>
    <w:rsid w:val="7AAC740C"/>
    <w:rsid w:val="7DC47518"/>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2830</Words>
  <Characters>2873</Characters>
  <Lines>20</Lines>
  <Paragraphs>5</Paragraphs>
  <TotalTime>5</TotalTime>
  <ScaleCrop>false</ScaleCrop>
  <LinksUpToDate>false</LinksUpToDate>
  <CharactersWithSpaces>2873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2017-04-10T01:35:00Z</dcterms:created>
  <dc:creator>Administrator</dc:creator>
  <cp:lastModifiedBy>郭琼琼</cp:lastModifiedBy>
  <cp:lastPrinted>2019-06-24T08:26:00Z</cp:lastPrinted>
  <dcterms:modified xsi:type="dcterms:W3CDTF">2023-05-24T01:02:01Z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91501E673261414BAA698A1399DB5F5A</vt:lpwstr>
  </property>
</Properties>
</file>