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6" w:beforeAutospacing="0" w:after="226" w:afterAutospacing="0" w:line="500" w:lineRule="atLeast"/>
        <w:ind w:left="0" w:right="0" w:firstLine="880"/>
        <w:jc w:val="center"/>
        <w:textAlignment w:val="baseline"/>
        <w:rPr>
          <w:rFonts w:hint="default" w:ascii="方正小标宋简体" w:hAnsi="方正小标宋简体" w:eastAsia="方正小标宋简体" w:cs="方正小标宋简体"/>
          <w:color w:val="000000"/>
          <w:sz w:val="44"/>
          <w:szCs w:val="44"/>
          <w:shd w:val="clear" w:fill="FFFFFF"/>
          <w:vertAlign w:val="baseline"/>
        </w:rPr>
      </w:pPr>
      <w:r>
        <w:rPr>
          <w:rFonts w:hint="eastAsia" w:ascii="方正小标宋简体" w:hAnsi="方正小标宋简体" w:eastAsia="方正小标宋简体" w:cs="方正小标宋简体"/>
          <w:color w:val="000000"/>
          <w:sz w:val="44"/>
          <w:szCs w:val="44"/>
          <w:shd w:val="clear" w:fill="FFFFFF"/>
          <w:vertAlign w:val="baseline"/>
        </w:rPr>
        <w:t>黄山</w:t>
      </w:r>
      <w:r>
        <w:rPr>
          <w:rFonts w:hint="eastAsia" w:ascii="方正小标宋简体" w:hAnsi="方正小标宋简体" w:eastAsia="方正小标宋简体" w:cs="方正小标宋简体"/>
          <w:color w:val="000000"/>
          <w:sz w:val="44"/>
          <w:szCs w:val="44"/>
          <w:shd w:val="clear" w:fill="FFFFFF"/>
          <w:vertAlign w:val="baseline"/>
          <w:lang w:eastAsia="zh-CN"/>
        </w:rPr>
        <w:t>区新明乡</w:t>
      </w:r>
      <w:bookmarkStart w:id="0" w:name="_GoBack"/>
      <w:bookmarkEnd w:id="0"/>
      <w:r>
        <w:rPr>
          <w:rFonts w:hint="eastAsia" w:ascii="方正小标宋简体" w:hAnsi="方正小标宋简体" w:eastAsia="方正小标宋简体" w:cs="方正小标宋简体"/>
          <w:color w:val="000000"/>
          <w:sz w:val="44"/>
          <w:szCs w:val="44"/>
          <w:shd w:val="clear" w:fill="FFFFFF"/>
          <w:vertAlign w:val="baseline"/>
        </w:rPr>
        <w:t>人民政府权责清单（2020年本）</w:t>
      </w:r>
    </w:p>
    <w:tbl>
      <w:tblPr>
        <w:tblStyle w:val="3"/>
        <w:tblW w:w="14757" w:type="dxa"/>
        <w:jc w:val="center"/>
        <w:tblLayout w:type="autofit"/>
        <w:tblCellMar>
          <w:top w:w="0" w:type="dxa"/>
          <w:left w:w="108" w:type="dxa"/>
          <w:bottom w:w="0" w:type="dxa"/>
          <w:right w:w="108" w:type="dxa"/>
        </w:tblCellMar>
      </w:tblPr>
      <w:tblGrid>
        <w:gridCol w:w="560"/>
        <w:gridCol w:w="760"/>
        <w:gridCol w:w="1060"/>
        <w:gridCol w:w="8408"/>
        <w:gridCol w:w="1701"/>
        <w:gridCol w:w="1701"/>
        <w:gridCol w:w="567"/>
      </w:tblGrid>
      <w:tr>
        <w:tblPrEx>
          <w:tblCellMar>
            <w:top w:w="0" w:type="dxa"/>
            <w:left w:w="108" w:type="dxa"/>
            <w:bottom w:w="0" w:type="dxa"/>
            <w:right w:w="108" w:type="dxa"/>
          </w:tblCellMar>
        </w:tblPrEx>
        <w:trPr>
          <w:trHeight w:val="301"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olor w:val="000000"/>
                <w:kern w:val="0"/>
                <w:sz w:val="18"/>
                <w:szCs w:val="18"/>
              </w:rPr>
            </w:pPr>
            <w:r>
              <w:rPr>
                <w:rFonts w:hint="eastAsia" w:ascii="宋体" w:hAnsi="宋体"/>
                <w:color w:val="000000"/>
                <w:kern w:val="0"/>
                <w:sz w:val="18"/>
                <w:szCs w:val="18"/>
              </w:rPr>
              <w:t>序</w:t>
            </w:r>
          </w:p>
          <w:p>
            <w:pPr>
              <w:widowControl/>
              <w:spacing w:line="240" w:lineRule="exact"/>
              <w:jc w:val="center"/>
              <w:rPr>
                <w:rFonts w:ascii="宋体" w:hAnsi="宋体"/>
                <w:color w:val="000000"/>
                <w:kern w:val="0"/>
                <w:sz w:val="18"/>
                <w:szCs w:val="18"/>
              </w:rPr>
            </w:pPr>
            <w:r>
              <w:rPr>
                <w:rFonts w:hint="eastAsia" w:ascii="宋体" w:hAnsi="宋体"/>
                <w:color w:val="000000"/>
                <w:kern w:val="0"/>
                <w:sz w:val="18"/>
                <w:szCs w:val="18"/>
              </w:rPr>
              <w:t>号</w:t>
            </w:r>
          </w:p>
        </w:tc>
        <w:tc>
          <w:tcPr>
            <w:tcW w:w="7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olor w:val="000000"/>
                <w:kern w:val="0"/>
                <w:sz w:val="18"/>
                <w:szCs w:val="18"/>
              </w:rPr>
            </w:pPr>
            <w:r>
              <w:rPr>
                <w:rFonts w:hint="eastAsia" w:ascii="宋体" w:hAnsi="宋体"/>
                <w:color w:val="000000"/>
                <w:kern w:val="0"/>
                <w:sz w:val="18"/>
                <w:szCs w:val="18"/>
              </w:rPr>
              <w:t>权力</w:t>
            </w:r>
          </w:p>
          <w:p>
            <w:pPr>
              <w:widowControl/>
              <w:spacing w:line="240" w:lineRule="exact"/>
              <w:jc w:val="center"/>
              <w:rPr>
                <w:rFonts w:ascii="宋体" w:hAnsi="宋体"/>
                <w:color w:val="000000"/>
                <w:kern w:val="0"/>
                <w:sz w:val="18"/>
                <w:szCs w:val="18"/>
              </w:rPr>
            </w:pPr>
            <w:r>
              <w:rPr>
                <w:rFonts w:hint="eastAsia" w:ascii="宋体" w:hAnsi="宋体"/>
                <w:color w:val="000000"/>
                <w:kern w:val="0"/>
                <w:sz w:val="18"/>
                <w:szCs w:val="18"/>
              </w:rPr>
              <w:t>类型</w:t>
            </w:r>
          </w:p>
        </w:tc>
        <w:tc>
          <w:tcPr>
            <w:tcW w:w="10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 w:val="18"/>
                <w:szCs w:val="18"/>
              </w:rPr>
            </w:pPr>
            <w:r>
              <w:rPr>
                <w:rFonts w:hint="eastAsia" w:ascii="宋体" w:hAnsi="宋体"/>
                <w:color w:val="000000"/>
                <w:kern w:val="0"/>
                <w:sz w:val="18"/>
                <w:szCs w:val="18"/>
              </w:rPr>
              <w:t>事项名称</w:t>
            </w:r>
          </w:p>
        </w:tc>
        <w:tc>
          <w:tcPr>
            <w:tcW w:w="840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 w:val="18"/>
                <w:szCs w:val="18"/>
              </w:rPr>
            </w:pPr>
            <w:r>
              <w:rPr>
                <w:rFonts w:hint="eastAsia" w:ascii="宋体" w:hAnsi="宋体"/>
                <w:color w:val="000000"/>
                <w:kern w:val="0"/>
                <w:sz w:val="18"/>
                <w:szCs w:val="18"/>
              </w:rPr>
              <w:t>实施依据</w:t>
            </w:r>
          </w:p>
        </w:tc>
        <w:tc>
          <w:tcPr>
            <w:tcW w:w="340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000000"/>
                <w:kern w:val="0"/>
                <w:sz w:val="18"/>
                <w:szCs w:val="18"/>
              </w:rPr>
            </w:pPr>
            <w:r>
              <w:rPr>
                <w:rFonts w:hint="eastAsia" w:ascii="宋体" w:hAnsi="宋体"/>
                <w:color w:val="000000"/>
                <w:kern w:val="0"/>
                <w:sz w:val="18"/>
                <w:szCs w:val="18"/>
              </w:rPr>
              <w:t>职责边界划分</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 w:val="18"/>
                <w:szCs w:val="18"/>
              </w:rPr>
            </w:pPr>
            <w:r>
              <w:rPr>
                <w:rFonts w:hint="eastAsia" w:ascii="宋体" w:hAnsi="宋体"/>
                <w:color w:val="000000"/>
                <w:kern w:val="0"/>
                <w:sz w:val="18"/>
                <w:szCs w:val="18"/>
              </w:rPr>
              <w:t>备注</w:t>
            </w:r>
          </w:p>
        </w:tc>
      </w:tr>
      <w:tr>
        <w:tblPrEx>
          <w:tblCellMar>
            <w:top w:w="0" w:type="dxa"/>
            <w:left w:w="108" w:type="dxa"/>
            <w:bottom w:w="0" w:type="dxa"/>
            <w:right w:w="108" w:type="dxa"/>
          </w:tblCellMar>
        </w:tblPrEx>
        <w:trPr>
          <w:trHeight w:val="321"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kern w:val="0"/>
                <w:sz w:val="18"/>
                <w:szCs w:val="18"/>
              </w:rPr>
            </w:pPr>
          </w:p>
        </w:tc>
        <w:tc>
          <w:tcPr>
            <w:tcW w:w="7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kern w:val="0"/>
                <w:sz w:val="18"/>
                <w:szCs w:val="18"/>
              </w:rPr>
            </w:pPr>
          </w:p>
        </w:tc>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kern w:val="0"/>
                <w:sz w:val="18"/>
                <w:szCs w:val="18"/>
              </w:rPr>
            </w:pPr>
          </w:p>
        </w:tc>
        <w:tc>
          <w:tcPr>
            <w:tcW w:w="84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kern w:val="0"/>
                <w:sz w:val="18"/>
                <w:szCs w:val="18"/>
              </w:rPr>
            </w:pP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县级部门</w:t>
            </w:r>
          </w:p>
        </w:tc>
        <w:tc>
          <w:tcPr>
            <w:tcW w:w="1701" w:type="dxa"/>
            <w:tcBorders>
              <w:top w:val="nil"/>
              <w:left w:val="nil"/>
              <w:bottom w:val="single" w:color="auto" w:sz="4" w:space="0"/>
              <w:right w:val="nil"/>
            </w:tcBorders>
            <w:noWrap w:val="0"/>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乡镇</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kern w:val="0"/>
                <w:sz w:val="18"/>
                <w:szCs w:val="18"/>
              </w:rPr>
            </w:pPr>
          </w:p>
        </w:tc>
      </w:tr>
      <w:tr>
        <w:tblPrEx>
          <w:tblCellMar>
            <w:top w:w="0" w:type="dxa"/>
            <w:left w:w="108" w:type="dxa"/>
            <w:bottom w:w="0" w:type="dxa"/>
            <w:right w:w="108" w:type="dxa"/>
          </w:tblCellMar>
        </w:tblPrEx>
        <w:trPr>
          <w:trHeight w:val="7072" w:hRule="atLeast"/>
          <w:jc w:val="center"/>
        </w:trPr>
        <w:tc>
          <w:tcPr>
            <w:tcW w:w="56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60" w:type="dxa"/>
            <w:tcBorders>
              <w:top w:val="nil"/>
              <w:left w:val="nil"/>
              <w:bottom w:val="single" w:color="auto" w:sz="4" w:space="0"/>
              <w:right w:val="single" w:color="000000"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行</w:t>
            </w:r>
          </w:p>
          <w:p>
            <w:pPr>
              <w:widowControl/>
              <w:jc w:val="center"/>
              <w:rPr>
                <w:rFonts w:hint="eastAsia" w:ascii="宋体" w:hAnsi="宋体" w:cs="宋体"/>
                <w:kern w:val="0"/>
                <w:sz w:val="18"/>
                <w:szCs w:val="18"/>
              </w:rPr>
            </w:pPr>
            <w:r>
              <w:rPr>
                <w:rFonts w:hint="eastAsia" w:ascii="宋体" w:hAnsi="宋体" w:cs="宋体"/>
                <w:kern w:val="0"/>
                <w:sz w:val="18"/>
                <w:szCs w:val="18"/>
              </w:rPr>
              <w:t>政</w:t>
            </w:r>
          </w:p>
          <w:p>
            <w:pPr>
              <w:widowControl/>
              <w:jc w:val="center"/>
              <w:rPr>
                <w:rFonts w:hint="eastAsia" w:ascii="宋体" w:hAnsi="宋体" w:cs="宋体"/>
                <w:kern w:val="0"/>
                <w:sz w:val="18"/>
                <w:szCs w:val="18"/>
              </w:rPr>
            </w:pPr>
            <w:r>
              <w:rPr>
                <w:rFonts w:hint="eastAsia" w:ascii="宋体" w:hAnsi="宋体" w:cs="宋体"/>
                <w:kern w:val="0"/>
                <w:sz w:val="18"/>
                <w:szCs w:val="18"/>
              </w:rPr>
              <w:t>许</w:t>
            </w:r>
          </w:p>
          <w:p>
            <w:pPr>
              <w:widowControl/>
              <w:jc w:val="center"/>
              <w:rPr>
                <w:rFonts w:ascii="宋体" w:hAnsi="宋体" w:cs="宋体"/>
                <w:kern w:val="0"/>
                <w:sz w:val="18"/>
                <w:szCs w:val="18"/>
              </w:rPr>
            </w:pPr>
            <w:r>
              <w:rPr>
                <w:rFonts w:hint="eastAsia" w:ascii="宋体" w:hAnsi="宋体" w:cs="宋体"/>
                <w:kern w:val="0"/>
                <w:sz w:val="18"/>
                <w:szCs w:val="18"/>
              </w:rPr>
              <w:t>可</w:t>
            </w:r>
          </w:p>
        </w:tc>
        <w:tc>
          <w:tcPr>
            <w:tcW w:w="1060" w:type="dxa"/>
            <w:tcBorders>
              <w:top w:val="nil"/>
              <w:left w:val="nil"/>
              <w:bottom w:val="single" w:color="auto"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《农村宅基地批准书》和乡村建设规划许可证（使用原有宅基地和其他非农用地）核发</w:t>
            </w:r>
          </w:p>
        </w:tc>
        <w:tc>
          <w:tcPr>
            <w:tcW w:w="8408" w:type="dxa"/>
            <w:tcBorders>
              <w:top w:val="nil"/>
              <w:left w:val="single" w:color="auto" w:sz="4" w:space="0"/>
              <w:bottom w:val="single" w:color="auto" w:sz="4" w:space="0"/>
              <w:right w:val="single" w:color="auto" w:sz="4" w:space="0"/>
            </w:tcBorders>
            <w:noWrap w:val="0"/>
            <w:vAlign w:val="center"/>
          </w:tcPr>
          <w:p>
            <w:pPr>
              <w:widowControl/>
              <w:spacing w:line="260" w:lineRule="exact"/>
              <w:rPr>
                <w:rFonts w:hint="eastAsia" w:ascii="宋体" w:hAnsi="宋体" w:cs="宋体"/>
                <w:spacing w:val="-6"/>
                <w:kern w:val="0"/>
                <w:sz w:val="18"/>
                <w:szCs w:val="18"/>
              </w:rPr>
            </w:pPr>
            <w:r>
              <w:rPr>
                <w:rFonts w:hint="eastAsia" w:ascii="宋体" w:hAnsi="宋体" w:cs="宋体"/>
                <w:spacing w:val="-6"/>
                <w:kern w:val="0"/>
                <w:sz w:val="18"/>
                <w:szCs w:val="18"/>
              </w:rPr>
              <w:t>1.《中华人民共和国土地管理法》第六十二条第一款、第三款、第四款、第五款：农村村民一户只能拥有一处宅基地，其宅基地的面积不得超过省、自治区、直辖市规定的标准。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农村村民住宅用地，由乡（镇）人民政府审核批准；其中，涉及占用农用地的，依照本法第四十四条的规定办理审批手续。农村村民出卖、出租住房后，再申请宅基地的，不予批准。</w:t>
            </w:r>
          </w:p>
          <w:p>
            <w:pPr>
              <w:widowControl/>
              <w:spacing w:line="260" w:lineRule="exact"/>
              <w:rPr>
                <w:rFonts w:hint="eastAsia" w:ascii="宋体" w:hAnsi="宋体" w:cs="宋体"/>
                <w:spacing w:val="-6"/>
                <w:kern w:val="0"/>
                <w:sz w:val="18"/>
                <w:szCs w:val="18"/>
              </w:rPr>
            </w:pPr>
            <w:r>
              <w:rPr>
                <w:rFonts w:hint="eastAsia" w:ascii="宋体" w:hAnsi="宋体" w:cs="宋体"/>
                <w:spacing w:val="-6"/>
                <w:kern w:val="0"/>
                <w:sz w:val="18"/>
                <w:szCs w:val="18"/>
              </w:rPr>
              <w:t>2.《安徽省城乡规划条例》第三十二条：在乡、村庄规划区内进行农村村民住宅建设的，申请人应当持村民委员会证明材料、户口簿及其复印件，向镇、乡人民政府提出申请。使用原有宅基地和其他非农用地的，镇、乡人民政府应当自收到申请之日起十日内作出决定，符合乡规划或者村庄规划的，核发乡村建设规划许可证；不符合乡规划或者村庄规划的，不予核发乡村建设规划许可证，书面告知申请人，并说明理由。确需占用农用地的，申请人还应当提供农用地转用批准材料。镇、乡人民政府应当自收到申请之日起十日内提出审查意见，报城市、县人民政府城乡规划主管部门。城乡规划主管部门应当自收到审查意见之日起十五日内做出决定，符合乡规划或者村庄规划的，核发乡村建设规划许可证；不符合乡规划或者村庄规划的，不予核发乡村建设规划许可证，书面告知申请人，并说明理由。</w:t>
            </w:r>
          </w:p>
          <w:p>
            <w:pPr>
              <w:widowControl/>
              <w:spacing w:line="260" w:lineRule="exact"/>
              <w:rPr>
                <w:rFonts w:ascii="宋体" w:hAnsi="宋体" w:cs="宋体"/>
                <w:spacing w:val="-6"/>
                <w:kern w:val="0"/>
                <w:sz w:val="18"/>
                <w:szCs w:val="18"/>
              </w:rPr>
            </w:pPr>
            <w:r>
              <w:rPr>
                <w:rFonts w:hint="eastAsia" w:ascii="宋体" w:hAnsi="宋体" w:cs="宋体"/>
                <w:spacing w:val="-6"/>
                <w:kern w:val="0"/>
                <w:sz w:val="18"/>
                <w:szCs w:val="18"/>
              </w:rPr>
              <w:t>3.《安徽省农业农村厅 安徽省自然资源厅关于进一步加强农村宅基地审批管理的实施意见》：三、严格农村宅基地审批。（七）明确农村宅基地审批流程。1．部门联审。乡镇人民政府受理农村村民宅基地和建房（规划许可）申请后，应当在10个工作日内，组织农业农村、自然资源等相关部门完成联合审核工作。农业农村部门负责审查申请人是否符合申请条件、拟用地是否符合宅基地合理布局要求和面积标准、宅基地和建房（规划许可）申请是否经过村组审核公示等，并综合各有关部门意见提出审批建议。自然资源部门负责审查用地建房是否符合国土空间规划、用途管制要求，是否取得用地计划。涉及占用农用地的，是否办理了农用地转用审批手续。涉及林业、水利、电力、公路等部门的，要及时征求意见。2．乡镇审批。乡镇人民政府根据各部门联审结果，对农村村民宅基地申请进行审批。经审核认为宅基地申请和用地审批符合条件、报送材料完备的，应当自联审合格之日起，在5个工作日内予以批准，发放《农村宅基地批准书》和乡村建设规划许可证，并同步将审批情况书面报县级农业农村、自然资源等部门备案。经联审不符合宅基地和用地审批申请条件的，乡镇人民政府应当在3个工作日内依法答复申请人，并说明理由；属报送材料不完备的，应当在3个工作日内一次性告知申请人需要补正的材料和相关要求。村民申请在符合村庄规划的现有宅基地上改建住宅的，在不突破规定宅基地面积、符合农房规划设计要求、不涉及切坡建房的情况下，确需改建的，市、县人民政府可结合实际制定简易审批程序。</w:t>
            </w:r>
          </w:p>
        </w:tc>
        <w:tc>
          <w:tcPr>
            <w:tcW w:w="1701" w:type="dxa"/>
            <w:tcBorders>
              <w:top w:val="nil"/>
              <w:left w:val="single" w:color="000000" w:sz="4" w:space="0"/>
              <w:bottom w:val="single" w:color="auto" w:sz="4" w:space="0"/>
              <w:right w:val="single" w:color="000000" w:sz="4" w:space="0"/>
            </w:tcBorders>
            <w:noWrap w:val="0"/>
            <w:vAlign w:val="center"/>
          </w:tcPr>
          <w:p>
            <w:pPr>
              <w:widowControl/>
              <w:rPr>
                <w:rFonts w:hint="eastAsia" w:ascii="宋体" w:hAnsi="宋体" w:cs="宋体"/>
                <w:kern w:val="0"/>
                <w:sz w:val="18"/>
                <w:szCs w:val="18"/>
              </w:rPr>
            </w:pPr>
            <w:r>
              <w:rPr>
                <w:rFonts w:hint="eastAsia" w:ascii="宋体" w:hAnsi="宋体" w:cs="宋体"/>
                <w:kern w:val="0"/>
                <w:sz w:val="18"/>
                <w:szCs w:val="18"/>
              </w:rPr>
              <w:t>农业农村部门负责建立健全宅基地分配、使用、流转、违法用地查处等管理制度，完善宅基地用地标准；及时将农民建房新增建设用地需求通报同级自然资源和规划部门。</w:t>
            </w:r>
          </w:p>
          <w:p>
            <w:pPr>
              <w:widowControl/>
              <w:rPr>
                <w:rFonts w:ascii="宋体" w:hAnsi="宋体" w:cs="宋体"/>
                <w:kern w:val="0"/>
                <w:sz w:val="18"/>
                <w:szCs w:val="18"/>
              </w:rPr>
            </w:pPr>
            <w:r>
              <w:rPr>
                <w:rFonts w:hint="eastAsia" w:ascii="宋体" w:hAnsi="宋体" w:cs="宋体"/>
                <w:kern w:val="0"/>
                <w:sz w:val="18"/>
                <w:szCs w:val="18"/>
              </w:rPr>
              <w:t>自然资源和规划部门负责国土空间规划、土地利用计划和规划许可等工作，在国土空间规划中统筹安排宅基地用地规模和布局，满足合理的宅基地需求，依法办理农用地转用审查报批和规划许可等相关手续。</w:t>
            </w:r>
          </w:p>
        </w:tc>
        <w:tc>
          <w:tcPr>
            <w:tcW w:w="1701" w:type="dxa"/>
            <w:tcBorders>
              <w:top w:val="nil"/>
              <w:left w:val="nil"/>
              <w:bottom w:val="single" w:color="auto" w:sz="4" w:space="0"/>
              <w:right w:val="nil"/>
            </w:tcBorders>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受理农村村民宅基地和建房（ 规划许可）申请后，应当组织农业农村、自然资源和规划等相关部门完成联合审核工作，并根据各部门联审结果，对农村村民宅基地申请进行审批。经审核认为宅基地申请和用地审批符合条件、报送材料完备的，应当自联审合格之日起，在 5 个工作日内予以批准，发放《农村宅基地批准书》和乡村建设规划许可证，并同步将审批情况书面报县级农业农村、自然资源和规划等部门备案。</w:t>
            </w:r>
          </w:p>
        </w:tc>
        <w:tc>
          <w:tcPr>
            <w:tcW w:w="56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253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行政</w:t>
            </w:r>
          </w:p>
          <w:p>
            <w:pPr>
              <w:widowControl/>
              <w:jc w:val="center"/>
              <w:rPr>
                <w:rFonts w:ascii="宋体" w:hAnsi="宋体" w:cs="宋体"/>
                <w:kern w:val="0"/>
                <w:sz w:val="18"/>
                <w:szCs w:val="18"/>
              </w:rPr>
            </w:pPr>
            <w:r>
              <w:rPr>
                <w:rFonts w:hint="eastAsia" w:ascii="宋体" w:hAnsi="宋体" w:cs="宋体"/>
                <w:kern w:val="0"/>
                <w:sz w:val="18"/>
                <w:szCs w:val="18"/>
              </w:rPr>
              <w:t>许可</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在村庄、集镇规划区修建临时建筑物、构筑物和其他设施的批准</w:t>
            </w:r>
          </w:p>
        </w:tc>
        <w:tc>
          <w:tcPr>
            <w:tcW w:w="840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《村庄和集镇规划建设管理条例》第三十二条：未经乡级人民政府批准，任何单位和个人不得擅自在村庄、集镇规划区内的街道、广场、市场和车站等场所修建临时建筑物、构筑物和其他设施。</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自然资源和规划、农业农村等部门按照职责分工进行业务指导。</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严格控制在村庄、集镇规划区内修建临时建筑物、构筑物和其他设施，确有需要的，按有关规定予以批准。</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2840" w:hRule="atLeast"/>
          <w:jc w:val="center"/>
        </w:trPr>
        <w:tc>
          <w:tcPr>
            <w:tcW w:w="56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760" w:type="dxa"/>
            <w:tcBorders>
              <w:top w:val="single" w:color="auto" w:sz="4" w:space="0"/>
              <w:left w:val="nil"/>
              <w:bottom w:val="single" w:color="000000" w:sz="4" w:space="0"/>
              <w:right w:val="single" w:color="000000"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行政</w:t>
            </w:r>
          </w:p>
          <w:p>
            <w:pPr>
              <w:widowControl/>
              <w:jc w:val="center"/>
              <w:rPr>
                <w:rFonts w:ascii="宋体" w:hAnsi="宋体" w:cs="宋体"/>
                <w:kern w:val="0"/>
                <w:sz w:val="18"/>
                <w:szCs w:val="18"/>
              </w:rPr>
            </w:pPr>
            <w:r>
              <w:rPr>
                <w:rFonts w:hint="eastAsia" w:ascii="宋体" w:hAnsi="宋体" w:cs="宋体"/>
                <w:kern w:val="0"/>
                <w:sz w:val="18"/>
                <w:szCs w:val="18"/>
              </w:rPr>
              <w:t>许可</w:t>
            </w:r>
          </w:p>
        </w:tc>
        <w:tc>
          <w:tcPr>
            <w:tcW w:w="1060" w:type="dxa"/>
            <w:tcBorders>
              <w:top w:val="single" w:color="auto" w:sz="4" w:space="0"/>
              <w:left w:val="nil"/>
              <w:bottom w:val="single" w:color="000000"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农民集体所有土地由本集体经济组织以外的单位或者个人承包经营的审批</w:t>
            </w:r>
          </w:p>
        </w:tc>
        <w:tc>
          <w:tcPr>
            <w:tcW w:w="840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中华人民共和国农村土地承包法》第五十二条：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1701" w:type="dxa"/>
            <w:tcBorders>
              <w:top w:val="single" w:color="auto"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农业农村、自然资源和规划、林业等部门按照职责分工进行业务指导。</w:t>
            </w:r>
          </w:p>
        </w:tc>
        <w:tc>
          <w:tcPr>
            <w:tcW w:w="1701" w:type="dxa"/>
            <w:tcBorders>
              <w:top w:val="single" w:color="auto" w:sz="4" w:space="0"/>
              <w:left w:val="nil"/>
              <w:bottom w:val="single" w:color="000000"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负责对农民集体所有的土地由本集体经济组织以外的单位或者个人承包经营的审批，并加强日常监管。</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3534" w:hRule="atLeast"/>
          <w:jc w:val="center"/>
        </w:trPr>
        <w:tc>
          <w:tcPr>
            <w:tcW w:w="560" w:type="dxa"/>
            <w:tcBorders>
              <w:top w:val="nil"/>
              <w:left w:val="single" w:color="000000" w:sz="4" w:space="0"/>
              <w:bottom w:val="single" w:color="auto"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60" w:type="dxa"/>
            <w:tcBorders>
              <w:top w:val="nil"/>
              <w:left w:val="nil"/>
              <w:bottom w:val="single" w:color="auto" w:sz="4" w:space="0"/>
              <w:right w:val="single" w:color="000000"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行政</w:t>
            </w:r>
          </w:p>
          <w:p>
            <w:pPr>
              <w:widowControl/>
              <w:jc w:val="center"/>
              <w:rPr>
                <w:rFonts w:ascii="宋体" w:hAnsi="宋体" w:cs="宋体"/>
                <w:kern w:val="0"/>
                <w:sz w:val="18"/>
                <w:szCs w:val="18"/>
              </w:rPr>
            </w:pPr>
            <w:r>
              <w:rPr>
                <w:rFonts w:hint="eastAsia" w:ascii="宋体" w:hAnsi="宋体" w:cs="宋体"/>
                <w:kern w:val="0"/>
                <w:sz w:val="18"/>
                <w:szCs w:val="18"/>
              </w:rPr>
              <w:t>许可</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农村集体经济组织统一经营的林权流转给本集体经济组织以外的单位和个人的流转方案审批</w:t>
            </w:r>
          </w:p>
        </w:tc>
        <w:tc>
          <w:tcPr>
            <w:tcW w:w="8408" w:type="dxa"/>
            <w:tcBorders>
              <w:top w:val="nil"/>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1.《中华人民共和国森林法》第十五条:林地和林地上的森林、林木的所有权、使用权，由不动产登记机构统一登记造册，核发证书。国务院确定的国家重点林区（以下简称重点林区）的森林、林木和林地，由国务院自然资源主管部门负责登记。</w:t>
            </w:r>
            <w:r>
              <w:rPr>
                <w:rFonts w:hint="eastAsia" w:ascii="宋体" w:hAnsi="宋体" w:cs="宋体"/>
                <w:kern w:val="0"/>
                <w:sz w:val="18"/>
                <w:szCs w:val="18"/>
              </w:rPr>
              <w:br w:type="textWrapping"/>
            </w:r>
            <w:r>
              <w:rPr>
                <w:rFonts w:hint="eastAsia" w:ascii="宋体" w:hAnsi="宋体" w:cs="宋体"/>
                <w:kern w:val="0"/>
                <w:sz w:val="18"/>
                <w:szCs w:val="18"/>
              </w:rPr>
              <w:t>2.《安徽省林权管理条例》第二十三条：农村集体经济组织统一经营的林权流转，应当将林权评估基价、流转期限、收入分配方案等，在本集体经济组织内公告不少于十五日，并经本集体经济组织成员的村民会议三分之二以上成员或者三分之二以上村民代表同意。其中，流转给本集体经济组织以外的单位和个人的，应当对流入方的资信情况和经营能力进行审查，通过招标、拍卖或者公开协商等方式选择流入方，其流转方案应当报乡级人民政府批准。</w:t>
            </w:r>
          </w:p>
        </w:tc>
        <w:tc>
          <w:tcPr>
            <w:tcW w:w="170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自然资源和规划局、林业部门负责业务指导。</w:t>
            </w:r>
          </w:p>
        </w:tc>
        <w:tc>
          <w:tcPr>
            <w:tcW w:w="1701" w:type="dxa"/>
            <w:tcBorders>
              <w:top w:val="nil"/>
              <w:left w:val="single" w:color="000000" w:sz="4" w:space="0"/>
              <w:bottom w:val="single" w:color="auto"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负责审批农村集体经济组织统一经营的林权流转给本集体经济组织以外的单位和个人的流转方案。</w:t>
            </w:r>
          </w:p>
        </w:tc>
        <w:tc>
          <w:tcPr>
            <w:tcW w:w="56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238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行政处罚</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对损坏村庄和集镇的房屋、公共设施，破坏村容镇貌和环境卫生的处罚</w:t>
            </w:r>
          </w:p>
        </w:tc>
        <w:tc>
          <w:tcPr>
            <w:tcW w:w="840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1.《村庄和集镇规划建设管理条例》第三十九条：有下列行为之一的，由乡级人民政府责令停止侵害，可以处以罚款；造成损失的，并应当赔偿：（一）损坏村庄和集镇的房屋、公共设施的；（二）乱堆粪便、垃圾、柴草，破坏村容镇貌和环境卫生的。 </w:t>
            </w:r>
            <w:r>
              <w:rPr>
                <w:rFonts w:hint="eastAsia" w:ascii="宋体" w:hAnsi="宋体" w:cs="宋体"/>
                <w:kern w:val="0"/>
                <w:sz w:val="18"/>
                <w:szCs w:val="18"/>
              </w:rPr>
              <w:br w:type="textWrapping"/>
            </w:r>
            <w:r>
              <w:rPr>
                <w:rFonts w:hint="eastAsia" w:ascii="宋体" w:hAnsi="宋体" w:cs="宋体"/>
                <w:kern w:val="0"/>
                <w:sz w:val="18"/>
                <w:szCs w:val="18"/>
              </w:rPr>
              <w:t>2.《安徽省村镇规划建设管理条例》第二十八条：有下列行为之一的，由乡级人民政府责令停止侵害，可以处以 100 元以下罚款；造成损失的，应当承担赔偿责任：(一)损坏村庄和集镇的房屋、公共设施的；(二)乱堆粪便、垃圾、柴草，破坏村容镇貌和环境卫生的。</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自然资源和规划、农业农村、城管等部门按照职责分工进行业务指导。</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开展巡查，发现违法行为立即责令停止侵害，可以处罚；造成损失的，要求行政相对人承担赔偿责任。</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2980" w:hRule="atLeast"/>
          <w:jc w:val="center"/>
        </w:trPr>
        <w:tc>
          <w:tcPr>
            <w:tcW w:w="56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760"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行政处罚</w:t>
            </w:r>
          </w:p>
        </w:tc>
        <w:tc>
          <w:tcPr>
            <w:tcW w:w="1060" w:type="dxa"/>
            <w:tcBorders>
              <w:top w:val="single" w:color="auto" w:sz="4" w:space="0"/>
              <w:left w:val="nil"/>
              <w:bottom w:val="single" w:color="000000" w:sz="4" w:space="0"/>
              <w:right w:val="single" w:color="000000" w:sz="4" w:space="0"/>
            </w:tcBorders>
            <w:noWrap w:val="0"/>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对未依法取得乡村建设规划许可证或未按乡村建设规划许可证建设的，责令停止建设、限期改正</w:t>
            </w:r>
          </w:p>
        </w:tc>
        <w:tc>
          <w:tcPr>
            <w:tcW w:w="8408" w:type="dxa"/>
            <w:tcBorders>
              <w:top w:val="single" w:color="auto" w:sz="4" w:space="0"/>
              <w:left w:val="nil"/>
              <w:bottom w:val="single" w:color="000000"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中华人民共和国城乡规划法》第六十五条：在乡、村庄规划区内未依法取得乡村建设规划许可证或者未按照乡村建设规划许可证的规定进行建设的，由乡、镇人民政府责令停止建设、限期改正；逾期不改正的，可以拆除。</w:t>
            </w:r>
          </w:p>
        </w:tc>
        <w:tc>
          <w:tcPr>
            <w:tcW w:w="1701" w:type="dxa"/>
            <w:tcBorders>
              <w:top w:val="single" w:color="auto" w:sz="4" w:space="0"/>
              <w:left w:val="nil"/>
              <w:bottom w:val="single" w:color="000000"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自然资源和规划、农业农村、城管等部门按照职责分工进行业务指导。</w:t>
            </w:r>
          </w:p>
        </w:tc>
        <w:tc>
          <w:tcPr>
            <w:tcW w:w="1701" w:type="dxa"/>
            <w:tcBorders>
              <w:top w:val="single" w:color="auto" w:sz="4" w:space="0"/>
              <w:left w:val="nil"/>
              <w:bottom w:val="single" w:color="000000"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对辖区内未依法取得乡村建设规划许可证或未按乡村建设规划许可证建设等情况进行巡查，发现违法行为立即责令停止建设、限期改正；逾期不改正的，可以拆除。</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3573" w:hRule="atLeast"/>
          <w:jc w:val="center"/>
        </w:trPr>
        <w:tc>
          <w:tcPr>
            <w:tcW w:w="560" w:type="dxa"/>
            <w:tcBorders>
              <w:top w:val="nil"/>
              <w:left w:val="single" w:color="000000" w:sz="4" w:space="0"/>
              <w:bottom w:val="single" w:color="auto"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760" w:type="dxa"/>
            <w:tcBorders>
              <w:top w:val="nil"/>
              <w:left w:val="nil"/>
              <w:bottom w:val="single" w:color="auto"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行政强制</w:t>
            </w:r>
          </w:p>
        </w:tc>
        <w:tc>
          <w:tcPr>
            <w:tcW w:w="1060" w:type="dxa"/>
            <w:tcBorders>
              <w:top w:val="nil"/>
              <w:left w:val="nil"/>
              <w:bottom w:val="single" w:color="auto"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防汛采取非常紧急措施遇到阻拦和拖延时组织强制实施</w:t>
            </w:r>
          </w:p>
        </w:tc>
        <w:tc>
          <w:tcPr>
            <w:tcW w:w="8408" w:type="dxa"/>
            <w:tcBorders>
              <w:top w:val="nil"/>
              <w:left w:val="nil"/>
              <w:bottom w:val="single" w:color="auto"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中华人民共和国防汛条例》第三十三条：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在非常情况下，为保护国家确定的重点地区和大局安全，必须作出局部牺牲时，在报经有管辖权的上级人民政府防汛指挥部批准后，当地人民政府防汛指挥部可以采取非常紧急措施。实施上述措施时，任何单位和个人不得阻拦，如遇到阻拦和拖延时，有管辖权的人民政府有权组织强制实施。</w:t>
            </w:r>
          </w:p>
        </w:tc>
        <w:tc>
          <w:tcPr>
            <w:tcW w:w="1701" w:type="dxa"/>
            <w:tcBorders>
              <w:top w:val="nil"/>
              <w:left w:val="nil"/>
              <w:bottom w:val="single" w:color="auto"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县级人民政府防汛指挥部指导乡镇开展工作，采取非常紧急措施遇到阻拦和拖延时，对不配合的单位和个人组织强制实施。</w:t>
            </w:r>
          </w:p>
        </w:tc>
        <w:tc>
          <w:tcPr>
            <w:tcW w:w="1701" w:type="dxa"/>
            <w:tcBorders>
              <w:top w:val="nil"/>
              <w:left w:val="nil"/>
              <w:bottom w:val="single" w:color="auto"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应当告知相关单位和个人应履行的义务并告之其履行义务的期限、方式和依法享有的陈述权、申辩权，若当事人依然阻拦和拖延，报告上级主管部门，并配合执法部门做好相关执法工作。</w:t>
            </w:r>
          </w:p>
        </w:tc>
        <w:tc>
          <w:tcPr>
            <w:tcW w:w="56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225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行政强制</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对非法种植毒品原植物的铲除</w:t>
            </w:r>
          </w:p>
        </w:tc>
        <w:tc>
          <w:tcPr>
            <w:tcW w:w="840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中华人民共和国禁毒法》第十二条：各级人民政府应当经常组织开展多种形式的禁毒宣传教育。第十九条：地方各级人民政府发现非法种植毒品原植物的，应当立即采取措施予以制止、铲除。村民委员会、居民委员会发现非法种植毒品原植物的，应当及时予以制止、铲除，并向当地公安机关报告。</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公安部门加强巡查，发现违法行为立即采取措施予以制止、铲除并依法处理，将相关信息通知所在乡镇。</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开展多种形式的禁毒宣传教育，加强巡查，及时发现违法行为并会同公安机关立即采取措施予以制止、铲除。</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2269" w:hRule="atLeast"/>
          <w:jc w:val="center"/>
        </w:trPr>
        <w:tc>
          <w:tcPr>
            <w:tcW w:w="56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760"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行政确认</w:t>
            </w:r>
          </w:p>
        </w:tc>
        <w:tc>
          <w:tcPr>
            <w:tcW w:w="1060" w:type="dxa"/>
            <w:tcBorders>
              <w:top w:val="single" w:color="auto" w:sz="4" w:space="0"/>
              <w:left w:val="nil"/>
              <w:bottom w:val="single" w:color="000000"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确定村道公路用地外缘的建筑控制区</w:t>
            </w:r>
          </w:p>
        </w:tc>
        <w:tc>
          <w:tcPr>
            <w:tcW w:w="8408" w:type="dxa"/>
            <w:tcBorders>
              <w:top w:val="single" w:color="auto" w:sz="4" w:space="0"/>
              <w:left w:val="nil"/>
              <w:bottom w:val="single" w:color="000000"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安徽省农村公路条例》第三十二条：县级人民政府应当确定县道、乡道两侧自边沟（截水沟、坡脚护坡道）外缘起不少于一米的范围为公路用地，自公路用地外缘起县道不少于十米、乡道不少于五米的范围为建筑控制区，并向社会公告。村道的公路用地范围由村民委员会通过村民会议或者村民代表会议确定。乡（镇）人民政府应当根据具体情况，确定村道自公路用地外缘起一般不少于三米的范围为建筑控制区，并向村民公告。</w:t>
            </w:r>
          </w:p>
        </w:tc>
        <w:tc>
          <w:tcPr>
            <w:tcW w:w="1701" w:type="dxa"/>
            <w:tcBorders>
              <w:top w:val="single" w:color="auto" w:sz="4" w:space="0"/>
              <w:left w:val="nil"/>
              <w:bottom w:val="single" w:color="000000"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交通运输、自然资源和规划等部门按规定做好县道、乡道两侧建筑控制区的确定和公告等工作。</w:t>
            </w:r>
          </w:p>
        </w:tc>
        <w:tc>
          <w:tcPr>
            <w:tcW w:w="1701" w:type="dxa"/>
            <w:tcBorders>
              <w:top w:val="single" w:color="auto" w:sz="4" w:space="0"/>
              <w:left w:val="nil"/>
              <w:bottom w:val="single" w:color="000000"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在村民委员会确定村道的公路用地范围后，根据具体情况确定村道公路用地外缘的建筑控制区，并向村民公告。</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4386" w:hRule="atLeast"/>
          <w:jc w:val="center"/>
        </w:trPr>
        <w:tc>
          <w:tcPr>
            <w:tcW w:w="560" w:type="dxa"/>
            <w:tcBorders>
              <w:top w:val="nil"/>
              <w:left w:val="single" w:color="000000" w:sz="4" w:space="0"/>
              <w:bottom w:val="single" w:color="auto"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760" w:type="dxa"/>
            <w:tcBorders>
              <w:top w:val="nil"/>
              <w:left w:val="nil"/>
              <w:bottom w:val="single" w:color="auto"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行政规划</w:t>
            </w:r>
          </w:p>
        </w:tc>
        <w:tc>
          <w:tcPr>
            <w:tcW w:w="1060" w:type="dxa"/>
            <w:tcBorders>
              <w:top w:val="nil"/>
              <w:left w:val="nil"/>
              <w:bottom w:val="single" w:color="auto"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编制乡镇国土空间规划及村庄规划</w:t>
            </w:r>
          </w:p>
        </w:tc>
        <w:tc>
          <w:tcPr>
            <w:tcW w:w="8408" w:type="dxa"/>
            <w:tcBorders>
              <w:top w:val="nil"/>
              <w:left w:val="nil"/>
              <w:bottom w:val="single" w:color="auto"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1.《中华人民共和国土地管理法》第十五条：各级人民政府应当依据国民经济和社会发展规划、国土整治和资源环境保护的要求、土地供给能力以及各项建设对土地的需求，组织编制土地利用总体规划。</w:t>
            </w:r>
            <w:r>
              <w:rPr>
                <w:rFonts w:hint="eastAsia" w:ascii="宋体" w:hAnsi="宋体" w:cs="宋体"/>
                <w:kern w:val="0"/>
                <w:sz w:val="18"/>
                <w:szCs w:val="18"/>
              </w:rPr>
              <w:br w:type="textWrapping"/>
            </w:r>
            <w:r>
              <w:rPr>
                <w:rFonts w:hint="eastAsia" w:ascii="宋体" w:hAnsi="宋体" w:cs="宋体"/>
                <w:kern w:val="0"/>
                <w:sz w:val="18"/>
                <w:szCs w:val="18"/>
              </w:rPr>
              <w:t>2.《中华人民共和国城乡规划法》第十五条：县人民政府组织编制县人民政府所在地镇的总体规划，报上一级人民政府审批。其他镇的总体规划由镇人民政府组织编制，报上一级人民政府审批。 </w:t>
            </w:r>
            <w:r>
              <w:rPr>
                <w:rFonts w:hint="eastAsia" w:ascii="宋体" w:hAnsi="宋体" w:cs="宋体"/>
                <w:kern w:val="0"/>
                <w:sz w:val="18"/>
                <w:szCs w:val="18"/>
              </w:rPr>
              <w:br w:type="textWrapping"/>
            </w:r>
            <w:r>
              <w:rPr>
                <w:rFonts w:hint="eastAsia" w:ascii="宋体" w:hAnsi="宋体" w:cs="宋体"/>
                <w:kern w:val="0"/>
                <w:sz w:val="18"/>
                <w:szCs w:val="18"/>
              </w:rPr>
              <w:t>3.《村庄和集镇规划建设管理条例》第八条：村庄、集镇规划由乡级人民政府负责组织编制，并监督实施。 </w:t>
            </w:r>
            <w:r>
              <w:rPr>
                <w:rFonts w:hint="eastAsia" w:ascii="宋体" w:hAnsi="宋体" w:cs="宋体"/>
                <w:kern w:val="0"/>
                <w:sz w:val="18"/>
                <w:szCs w:val="18"/>
              </w:rPr>
              <w:br w:type="textWrapping"/>
            </w:r>
            <w:r>
              <w:rPr>
                <w:rFonts w:hint="eastAsia" w:ascii="宋体" w:hAnsi="宋体" w:cs="宋体"/>
                <w:kern w:val="0"/>
                <w:sz w:val="18"/>
                <w:szCs w:val="18"/>
              </w:rPr>
              <w:t>4.《中共中央  国务院关于建立国土空间规划体系并监督实施的若干意见》（中发〔2019〕18号）：建立国土空间规划体系并监督实施，将主体功能区规划、土地利用规划、城乡规划等空间规划融合为统一的国土空间规划，实现“多规合一”。</w:t>
            </w:r>
            <w:r>
              <w:rPr>
                <w:rFonts w:hint="eastAsia" w:ascii="宋体" w:hAnsi="宋体" w:cs="宋体"/>
                <w:kern w:val="0"/>
                <w:sz w:val="18"/>
                <w:szCs w:val="18"/>
              </w:rPr>
              <w:br w:type="textWrapping"/>
            </w:r>
            <w:r>
              <w:rPr>
                <w:rFonts w:hint="eastAsia" w:ascii="宋体" w:hAnsi="宋体" w:cs="宋体"/>
                <w:kern w:val="0"/>
                <w:sz w:val="18"/>
                <w:szCs w:val="18"/>
              </w:rPr>
              <w:t>5.《自然资源部关于全面开展国土空间规划工作的通知》：各地不再新编和报批主体功能区规划、土地利用总体规划、城镇体系规划、城市（镇）总体规划、海洋功能区划等。</w:t>
            </w:r>
            <w:r>
              <w:rPr>
                <w:rFonts w:hint="eastAsia" w:ascii="宋体" w:hAnsi="宋体" w:cs="宋体"/>
                <w:kern w:val="0"/>
                <w:sz w:val="18"/>
                <w:szCs w:val="18"/>
              </w:rPr>
              <w:br w:type="textWrapping"/>
            </w:r>
            <w:r>
              <w:rPr>
                <w:rFonts w:hint="eastAsia" w:ascii="宋体" w:hAnsi="宋体" w:cs="宋体"/>
                <w:kern w:val="0"/>
                <w:sz w:val="18"/>
                <w:szCs w:val="18"/>
              </w:rPr>
              <w:t>6.《安徽省人民政府办公厅关于印发全省国土空间规划编制工作方案的通知》：乡镇国土空间规划由乡镇政府组织编制，报县（市）政府审批。</w:t>
            </w:r>
          </w:p>
        </w:tc>
        <w:tc>
          <w:tcPr>
            <w:tcW w:w="1701" w:type="dxa"/>
            <w:tcBorders>
              <w:top w:val="nil"/>
              <w:left w:val="nil"/>
              <w:bottom w:val="single" w:color="auto"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自然资源和规划部门加强对乡镇国土空间规划及城镇开发边界外的详细规划编制的业务指导，并按照有关规定进行审查。</w:t>
            </w:r>
          </w:p>
        </w:tc>
        <w:tc>
          <w:tcPr>
            <w:tcW w:w="1701" w:type="dxa"/>
            <w:tcBorders>
              <w:top w:val="nil"/>
              <w:left w:val="nil"/>
              <w:bottom w:val="single" w:color="auto"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按照有关规定组织编制乡镇国土空间规划及村庄规划，并按程序报批。</w:t>
            </w:r>
          </w:p>
        </w:tc>
        <w:tc>
          <w:tcPr>
            <w:tcW w:w="56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3000"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其他权力</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辖区内有关争议及矛盾纠纷的调解</w:t>
            </w:r>
          </w:p>
        </w:tc>
        <w:tc>
          <w:tcPr>
            <w:tcW w:w="840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《中华人民共和国人民调解法》第三十四条：乡镇、街道以及社会团体或者其他组织根据需要可以参照本法有关规定设立人民调解委员会，调解民间纠纷。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司法、民政等部门按照职能分工加强业务指导，并加强相关政策法规宣传教育。</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辖区内发生农村土地承包经营纠纷及经营权流转争议、林木所有权及林地使用权争议企业劳动争议、可能影响社会安全事件等矛盾纠纷时，乡镇在调查了解事实真相的基础上，依法依规调解，化解争议纠纷。</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3468" w:hRule="atLeast"/>
          <w:jc w:val="center"/>
        </w:trPr>
        <w:tc>
          <w:tcPr>
            <w:tcW w:w="56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760"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其他权力</w:t>
            </w:r>
          </w:p>
        </w:tc>
        <w:tc>
          <w:tcPr>
            <w:tcW w:w="1060" w:type="dxa"/>
            <w:tcBorders>
              <w:top w:val="single" w:color="auto" w:sz="4" w:space="0"/>
              <w:left w:val="nil"/>
              <w:bottom w:val="single" w:color="000000"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承包期内农村承包地调整的审核</w:t>
            </w:r>
          </w:p>
        </w:tc>
        <w:tc>
          <w:tcPr>
            <w:tcW w:w="840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1.《中华人民共和国农村土地承包法》第二十八条：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r>
              <w:rPr>
                <w:rFonts w:hint="eastAsia" w:ascii="宋体" w:hAnsi="宋体" w:cs="宋体"/>
                <w:kern w:val="0"/>
                <w:sz w:val="18"/>
                <w:szCs w:val="18"/>
              </w:rPr>
              <w:br w:type="textWrapping"/>
            </w:r>
            <w:r>
              <w:rPr>
                <w:rFonts w:hint="eastAsia" w:ascii="宋体" w:hAnsi="宋体" w:cs="宋体"/>
                <w:kern w:val="0"/>
                <w:sz w:val="18"/>
                <w:szCs w:val="18"/>
              </w:rPr>
              <w:t>2.《中华人民共和国森林法》第十五条：林地和林地上的森林、林木的所有权、使用权，由不动产登记机构统一登记造册，核发证书。国务院确定的国家重点林区（以下简称重点林区）的森林、林木和林地，由国务院自然资源主管部门负责登记。</w:t>
            </w:r>
            <w:r>
              <w:rPr>
                <w:rFonts w:hint="eastAsia" w:ascii="宋体" w:hAnsi="宋体" w:cs="宋体"/>
                <w:kern w:val="0"/>
                <w:sz w:val="18"/>
                <w:szCs w:val="18"/>
              </w:rPr>
              <w:br w:type="textWrapping"/>
            </w:r>
            <w:r>
              <w:rPr>
                <w:rFonts w:hint="eastAsia" w:ascii="宋体" w:hAnsi="宋体" w:cs="宋体"/>
                <w:kern w:val="0"/>
                <w:sz w:val="18"/>
                <w:szCs w:val="18"/>
              </w:rPr>
              <w:t>3.《安徽省实施〈中华人民共和国农村土地承包法〉办法》第二十七条：对承包地进行调整，应当按照下列程序进行：（三）发包方将讨论通过的调整方案报乡（镇）人民政府或者街道办事处和县级人民政府农业、林业等行政主管部门批准。</w:t>
            </w:r>
          </w:p>
        </w:tc>
        <w:tc>
          <w:tcPr>
            <w:tcW w:w="1701" w:type="dxa"/>
            <w:tcBorders>
              <w:top w:val="single" w:color="auto" w:sz="4" w:space="0"/>
              <w:left w:val="single" w:color="000000" w:sz="4" w:space="0"/>
              <w:bottom w:val="single" w:color="000000"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农业农村、自然资源和规划、林业等部门加强政策宣传和业务指导，及时会同乡镇政府做好农户之间调整承包的耕地和草地的审批工作，及时变更农村土地承包经营权证书。</w:t>
            </w:r>
          </w:p>
        </w:tc>
        <w:tc>
          <w:tcPr>
            <w:tcW w:w="1701" w:type="dxa"/>
            <w:tcBorders>
              <w:top w:val="single" w:color="auto" w:sz="4" w:space="0"/>
              <w:left w:val="nil"/>
              <w:bottom w:val="single" w:color="000000"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做好农户之间调整承包的耕地和草地的审核、上报及农村土地承包经营权证内容变更材料收集准备等工作。</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1680" w:hRule="atLeast"/>
          <w:jc w:val="center"/>
        </w:trPr>
        <w:tc>
          <w:tcPr>
            <w:tcW w:w="560" w:type="dxa"/>
            <w:tcBorders>
              <w:top w:val="nil"/>
              <w:left w:val="single" w:color="000000" w:sz="4" w:space="0"/>
              <w:bottom w:val="single" w:color="auto"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760" w:type="dxa"/>
            <w:tcBorders>
              <w:top w:val="nil"/>
              <w:left w:val="nil"/>
              <w:bottom w:val="single" w:color="auto"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其他权力</w:t>
            </w:r>
          </w:p>
        </w:tc>
        <w:tc>
          <w:tcPr>
            <w:tcW w:w="1060" w:type="dxa"/>
            <w:tcBorders>
              <w:top w:val="nil"/>
              <w:left w:val="nil"/>
              <w:bottom w:val="single" w:color="auto"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组织开展动物疫病强制免疫</w:t>
            </w:r>
          </w:p>
        </w:tc>
        <w:tc>
          <w:tcPr>
            <w:tcW w:w="8408" w:type="dxa"/>
            <w:tcBorders>
              <w:top w:val="single" w:color="000000" w:sz="4" w:space="0"/>
              <w:left w:val="nil"/>
              <w:bottom w:val="single" w:color="auto"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中华人民共和国动物防疫法》第十四条：乡级人民政府、城市街道办事处应当组织本管辖区域内饲养动物的单位和个人做好强制免疫工作。饲养动物的单位和个人应当依法履行动物疫病强制免疫义务，按照兽医主管部门的要求做好强制免疫工作。经强制免疫的动物，应当按照国务院兽医主管部门的规定建立免疫档案，加施畜禽标识，实施可追溯管理。</w:t>
            </w:r>
          </w:p>
        </w:tc>
        <w:tc>
          <w:tcPr>
            <w:tcW w:w="1701" w:type="dxa"/>
            <w:tcBorders>
              <w:top w:val="nil"/>
              <w:left w:val="nil"/>
              <w:bottom w:val="single" w:color="auto"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农业农村部门加强政策宣传、业务指导和档案管理以及效果监测等工作。</w:t>
            </w:r>
          </w:p>
        </w:tc>
        <w:tc>
          <w:tcPr>
            <w:tcW w:w="1701" w:type="dxa"/>
            <w:tcBorders>
              <w:top w:val="nil"/>
              <w:left w:val="nil"/>
              <w:bottom w:val="single" w:color="auto"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负责区域内饲养动物强制免疫的组织实施、建立档案等工作。</w:t>
            </w:r>
          </w:p>
        </w:tc>
        <w:tc>
          <w:tcPr>
            <w:tcW w:w="56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622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其他权力</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对生产经营单位安全生产监督检查</w:t>
            </w:r>
          </w:p>
        </w:tc>
        <w:tc>
          <w:tcPr>
            <w:tcW w:w="840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1.《中华人民共和国安全生产法》第八条：乡、镇人民政府以及街道办事处、开发区管理机构等地方人民政府的派出机关应当按照职责，加强对本行政区域内生产经营单位安全生产状况的监督检查，协助上级人民政府有关部门依法履行安全生产监督管理职责。</w:t>
            </w:r>
            <w:r>
              <w:rPr>
                <w:rFonts w:hint="eastAsia" w:ascii="宋体" w:hAnsi="宋体" w:cs="宋体"/>
                <w:kern w:val="0"/>
                <w:sz w:val="18"/>
                <w:szCs w:val="18"/>
              </w:rPr>
              <w:br w:type="textWrapping"/>
            </w:r>
            <w:r>
              <w:rPr>
                <w:rFonts w:hint="eastAsia" w:ascii="宋体" w:hAnsi="宋体" w:cs="宋体"/>
                <w:kern w:val="0"/>
                <w:sz w:val="18"/>
                <w:szCs w:val="18"/>
              </w:rPr>
              <w:t>2.《安徽省安全生产条例》第三十五条：乡镇人民政府、街道办事处，以及开发区、工业园区、港区、风景区等功能区的管理机构应当按照职责，加强对辖区内生产经营单位安全生产的监督检查，及时制止安全生产违法行为，并向安全生产监督管理部门和其他有关部门报告。</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应急管理等负有安全生产监督管理职责的部门按照职责分工和监管权限，负责制定安全生产年度监督检查计划，严格按计划进行检查、抽查；编制起草应急管理执法检查相关制度文件，规范执法程序，发现安全生产事故隐患责令限期整改、现场处置、到期复查，对存在违法行为或逾期不整改、整改不合格的进行处罚；加强对乡镇相关人员安全生产教育培训，提供必要的技术支持。</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制定本级安全生产监督检查年度计划，通过现场检查、调阅资料等方式按计划做好日常巡查并做好记录，对发现的安全生产违法行为及时制止，上报负有安全生产监管职责的部门处理。</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2678" w:hRule="atLeast"/>
          <w:jc w:val="center"/>
        </w:trPr>
        <w:tc>
          <w:tcPr>
            <w:tcW w:w="560" w:type="dxa"/>
            <w:tcBorders>
              <w:top w:val="single" w:color="auto" w:sz="4" w:space="0"/>
              <w:left w:val="single" w:color="000000" w:sz="4" w:space="0"/>
              <w:bottom w:val="single" w:color="auto"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760" w:type="dxa"/>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其他权力</w:t>
            </w:r>
          </w:p>
        </w:tc>
        <w:tc>
          <w:tcPr>
            <w:tcW w:w="1060" w:type="dxa"/>
            <w:tcBorders>
              <w:top w:val="single" w:color="auto" w:sz="4" w:space="0"/>
              <w:left w:val="nil"/>
              <w:bottom w:val="single" w:color="auto"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个人之间、个人与单位之间林木所有权和林地使用权争议处理</w:t>
            </w:r>
          </w:p>
        </w:tc>
        <w:tc>
          <w:tcPr>
            <w:tcW w:w="840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中华人民共和国森林法》第十五条：林地和林地上的森林、林木的所有权、使用权，由不动产登记机构统一登记造册，核发证书。国务院确定的国家重点林区（以下简称重点林区）的森林、林木和林地，由国务院自然资源主管部门负责登记。</w:t>
            </w:r>
            <w:r>
              <w:rPr>
                <w:rFonts w:hint="eastAsia" w:ascii="宋体" w:hAnsi="宋体" w:cs="宋体"/>
                <w:kern w:val="0"/>
                <w:sz w:val="18"/>
                <w:szCs w:val="18"/>
              </w:rPr>
              <w:br w:type="textWrapping"/>
            </w:r>
            <w:r>
              <w:rPr>
                <w:rFonts w:hint="eastAsia" w:ascii="宋体" w:hAnsi="宋体" w:cs="宋体"/>
                <w:kern w:val="0"/>
                <w:sz w:val="18"/>
                <w:szCs w:val="18"/>
              </w:rPr>
              <w:t>第二十二条：单位之间发生的林木、林地所有权和使用权争议，由县级以上人民政府依法处理。个人之间、个人与单位之间发生的林木所有权和林地使用权争议，由乡镇人民政府或者县级以上人民政府依法处理。 当事人对有关人民政府的处理决定不服的，可以自接到处理决定通知之日起三十日内，向人民法院起诉。 在林木、林地权属争议解决前，除因森林防火、林业有害生物防治、国家重大基础设施建设等需要外，当事人任何一方不得砍伐有争议的林木或者改变林地现状。</w:t>
            </w:r>
          </w:p>
        </w:tc>
        <w:tc>
          <w:tcPr>
            <w:tcW w:w="1701" w:type="dxa"/>
            <w:tcBorders>
              <w:top w:val="single" w:color="auto" w:sz="4" w:space="0"/>
              <w:left w:val="single" w:color="000000" w:sz="4" w:space="0"/>
              <w:bottom w:val="single" w:color="auto" w:sz="4" w:space="0"/>
              <w:right w:val="single" w:color="000000"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林业部门按职责分工负责对单位之间发生的林木、林地所有权和使用权争议处理，并负责对乡镇林木、林地相关争议处理的业务指导。</w:t>
            </w:r>
          </w:p>
        </w:tc>
        <w:tc>
          <w:tcPr>
            <w:tcW w:w="1701" w:type="dxa"/>
            <w:tcBorders>
              <w:top w:val="single" w:color="auto" w:sz="4" w:space="0"/>
              <w:left w:val="nil"/>
              <w:bottom w:val="single" w:color="auto" w:sz="4" w:space="0"/>
              <w:right w:val="nil"/>
            </w:tcBorders>
            <w:noWrap w:val="0"/>
            <w:vAlign w:val="center"/>
          </w:tcPr>
          <w:p>
            <w:pPr>
              <w:widowControl/>
              <w:rPr>
                <w:rFonts w:ascii="宋体" w:hAnsi="宋体" w:cs="宋体"/>
                <w:kern w:val="0"/>
                <w:sz w:val="18"/>
                <w:szCs w:val="18"/>
              </w:rPr>
            </w:pPr>
            <w:r>
              <w:rPr>
                <w:rFonts w:hint="eastAsia" w:ascii="宋体" w:hAnsi="宋体" w:cs="宋体"/>
                <w:kern w:val="0"/>
                <w:sz w:val="18"/>
                <w:szCs w:val="18"/>
              </w:rPr>
              <w:t>负责对个人之间、个人与单位之间发生的林木所有权和林地使用权争议处理。</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253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其他权力</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 w:val="18"/>
                <w:szCs w:val="18"/>
              </w:rPr>
            </w:pPr>
            <w:r>
              <w:rPr>
                <w:rFonts w:hint="eastAsia" w:ascii="宋体" w:hAnsi="宋体" w:cs="宋体"/>
                <w:kern w:val="0"/>
                <w:sz w:val="18"/>
                <w:szCs w:val="18"/>
              </w:rPr>
              <w:t>兵役登记</w:t>
            </w:r>
          </w:p>
        </w:tc>
        <w:tc>
          <w:tcPr>
            <w:tcW w:w="840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征兵工作条例》第十二条：机关、团体、企业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w:t>
            </w:r>
            <w:r>
              <w:rPr>
                <w:rFonts w:hint="eastAsia" w:ascii="宋体" w:hAnsi="宋体" w:cs="宋体"/>
                <w:kern w:val="0"/>
                <w:sz w:val="18"/>
                <w:szCs w:val="18"/>
              </w:rPr>
              <w:br w:type="textWrapping"/>
            </w:r>
            <w:r>
              <w:rPr>
                <w:rFonts w:hint="eastAsia" w:ascii="宋体" w:hAnsi="宋体" w:cs="宋体"/>
                <w:kern w:val="0"/>
                <w:sz w:val="18"/>
                <w:szCs w:val="18"/>
              </w:rPr>
              <w:t>第十三条：机关、团体、企业事业单位和乡、民族乡、镇的人民政府以及街道办事处，按照县、市兵役机关的安排和要求，对本单位和本地区的应征公民，进行体格目测、病史调查和政治、文化初步审查，选定政治思想好、身体好、文化程度高的应征公民为当年预定征集的对象，并通知本人。</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人民武装部负责审查乡镇上报的兵役登记情况，并加强对乡镇的业务指导。</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根据兵役机关的要求，按时通知适龄公民到兵役登记站进行兵役登记，依法确定应服兵役、免服兵役和不得服兵役的人员，并报上级兵役机关批准。</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2966" w:hRule="atLeast"/>
          <w:jc w:val="center"/>
        </w:trPr>
        <w:tc>
          <w:tcPr>
            <w:tcW w:w="56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760"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其他权力</w:t>
            </w:r>
          </w:p>
        </w:tc>
        <w:tc>
          <w:tcPr>
            <w:tcW w:w="1060"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社区戒毒人员的监管</w:t>
            </w:r>
          </w:p>
        </w:tc>
        <w:tc>
          <w:tcPr>
            <w:tcW w:w="8408" w:type="dxa"/>
            <w:tcBorders>
              <w:top w:val="single" w:color="auto" w:sz="4" w:space="0"/>
              <w:left w:val="nil"/>
              <w:bottom w:val="single" w:color="000000" w:sz="4" w:space="0"/>
              <w:right w:val="single" w:color="000000" w:sz="4" w:space="0"/>
            </w:tcBorders>
            <w:noWrap w:val="0"/>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rPr>
              <w:t>《中华人民共和国禁毒法》第三十一条第一款：国家采取各种措施帮助吸毒人员戒除毒瘾，教育和挽救吸毒人员。</w:t>
            </w:r>
            <w:r>
              <w:rPr>
                <w:rFonts w:hint="eastAsia" w:ascii="宋体" w:hAnsi="宋体" w:cs="宋体"/>
                <w:kern w:val="0"/>
                <w:sz w:val="18"/>
                <w:szCs w:val="18"/>
              </w:rPr>
              <w:br w:type="textWrapping"/>
            </w:r>
            <w:r>
              <w:rPr>
                <w:rFonts w:hint="eastAsia" w:ascii="宋体" w:hAnsi="宋体" w:cs="宋体"/>
                <w:kern w:val="0"/>
                <w:sz w:val="18"/>
                <w:szCs w:val="18"/>
              </w:rPr>
              <w:t>第三十三条：对吸毒成瘾人员，公安机关可以责令其接受社区戒毒，同时通知吸毒人员户籍所在地或者现居住地的城市街道办事处、乡镇人民政府。社区戒毒的期限为三年。戒毒人员应当在户籍所在地接受社区戒毒；在户籍所在地以外的现居住地有固定住所的，可以在现居住地接受社区戒毒。</w:t>
            </w:r>
            <w:r>
              <w:rPr>
                <w:rFonts w:hint="eastAsia" w:ascii="宋体" w:hAnsi="宋体" w:cs="宋体"/>
                <w:kern w:val="0"/>
                <w:sz w:val="18"/>
                <w:szCs w:val="18"/>
              </w:rPr>
              <w:br w:type="textWrapping"/>
            </w:r>
            <w:r>
              <w:rPr>
                <w:rFonts w:hint="eastAsia" w:ascii="宋体" w:hAnsi="宋体" w:cs="宋体"/>
                <w:kern w:val="0"/>
                <w:sz w:val="18"/>
                <w:szCs w:val="18"/>
              </w:rPr>
              <w:t>第三十四条：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城市街道办事处、乡镇人民政府，以及县级人民政府劳动行政部门对无职业且缺乏就业能力的戒毒人员，应当提供必要的职业技能培训、就业指导和就业援助。</w:t>
            </w:r>
          </w:p>
        </w:tc>
        <w:tc>
          <w:tcPr>
            <w:tcW w:w="1701" w:type="dxa"/>
            <w:tcBorders>
              <w:top w:val="single" w:color="auto" w:sz="4" w:space="0"/>
              <w:left w:val="nil"/>
              <w:bottom w:val="single" w:color="000000" w:sz="4" w:space="0"/>
              <w:right w:val="single" w:color="000000" w:sz="4" w:space="0"/>
            </w:tcBorders>
            <w:noWrap w:val="0"/>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公安机关和司法行政、卫生行政、民政等部门应当对社区戒毒工作提供指导和协助。劳动行政部门对无职业且缺乏就业能力的戒毒人员提供必要的职业技能培训、就业指导和就业援助。</w:t>
            </w:r>
          </w:p>
        </w:tc>
        <w:tc>
          <w:tcPr>
            <w:tcW w:w="1701" w:type="dxa"/>
            <w:tcBorders>
              <w:top w:val="single" w:color="auto" w:sz="4" w:space="0"/>
              <w:left w:val="nil"/>
              <w:bottom w:val="single" w:color="000000" w:sz="4" w:space="0"/>
              <w:right w:val="nil"/>
            </w:tcBorders>
            <w:noWrap w:val="0"/>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乡镇人民政府负责社区戒毒工作，根据戒毒人员本人和家庭情况，与戒毒人员签订社区戒毒协议，可以指定有关基层组织与戒毒人员签订社区戒毒协，落实有针对性的社区戒毒措施。</w:t>
            </w:r>
          </w:p>
        </w:tc>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3386" w:hRule="atLeast"/>
          <w:jc w:val="center"/>
        </w:trPr>
        <w:tc>
          <w:tcPr>
            <w:tcW w:w="56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760" w:type="dxa"/>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其他权力</w:t>
            </w:r>
          </w:p>
        </w:tc>
        <w:tc>
          <w:tcPr>
            <w:tcW w:w="1060"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农村个人之间、个人与农村集体所有制单位之间发生土地权属争议处理</w:t>
            </w:r>
          </w:p>
        </w:tc>
        <w:tc>
          <w:tcPr>
            <w:tcW w:w="8408" w:type="dxa"/>
            <w:tcBorders>
              <w:top w:val="single" w:color="auto" w:sz="4" w:space="0"/>
              <w:left w:val="nil"/>
              <w:bottom w:val="single" w:color="auto" w:sz="4" w:space="0"/>
              <w:right w:val="single" w:color="000000" w:sz="4" w:space="0"/>
            </w:tcBorders>
            <w:noWrap w:val="0"/>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rPr>
              <w:t>1.《中华人民共和国土地管理法》第十六条：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r>
              <w:rPr>
                <w:rFonts w:hint="eastAsia" w:ascii="宋体" w:hAnsi="宋体" w:cs="宋体"/>
                <w:kern w:val="0"/>
                <w:sz w:val="18"/>
                <w:szCs w:val="18"/>
              </w:rPr>
              <w:br w:type="textWrapping"/>
            </w:r>
            <w:r>
              <w:rPr>
                <w:rFonts w:hint="eastAsia" w:ascii="宋体" w:hAnsi="宋体" w:cs="宋体"/>
                <w:kern w:val="0"/>
                <w:sz w:val="18"/>
                <w:szCs w:val="18"/>
              </w:rPr>
              <w:t>2.《安徽省土地权属争议处理条例》第五条：省人民政府主管全省土地权属争议处理工作，市、县（市、区）、乡（镇）人民政府主管本辖区内土地权属争议处理工作，各级土地管理部门办理土地权属争议处理的具体工作。</w:t>
            </w:r>
            <w:r>
              <w:rPr>
                <w:rFonts w:hint="eastAsia" w:ascii="宋体" w:hAnsi="宋体" w:cs="宋体"/>
                <w:kern w:val="0"/>
                <w:sz w:val="18"/>
                <w:szCs w:val="18"/>
              </w:rPr>
              <w:br w:type="textWrapping"/>
            </w:r>
            <w:r>
              <w:rPr>
                <w:rFonts w:hint="eastAsia" w:ascii="宋体" w:hAnsi="宋体" w:cs="宋体"/>
                <w:kern w:val="0"/>
                <w:sz w:val="18"/>
                <w:szCs w:val="18"/>
              </w:rPr>
              <w:t>第三十条：农村个人之间、个人与农村集体所有制单位之间发生土地权属争议，由争议土地所在地乡（镇）人民政府处理。城市个人之间、个人与全民所有制单位、城市集体所有制单位之间发生土地权属争议，由县级人民政府处理。争议土地跨行政区域的，由其共同的上一级人民政府处理。</w:t>
            </w:r>
          </w:p>
        </w:tc>
        <w:tc>
          <w:tcPr>
            <w:tcW w:w="1701"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负责处理城市个人之间、个人与全民所有制单位、城市集体所有制单位之间发生土地权属争议，并负责处理本辖区跨行政区域的土地权属争议和对乡镇土地权属争议处理的业务指导。</w:t>
            </w:r>
          </w:p>
        </w:tc>
        <w:tc>
          <w:tcPr>
            <w:tcW w:w="1701" w:type="dxa"/>
            <w:tcBorders>
              <w:top w:val="single" w:color="auto" w:sz="4" w:space="0"/>
              <w:left w:val="nil"/>
              <w:bottom w:val="single" w:color="auto" w:sz="4" w:space="0"/>
              <w:right w:val="nil"/>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主管本辖区内土地权属争议处理工作，负责处理农村个人之间、个人与农村集体所有制单位之间发生土地权属争议。</w:t>
            </w:r>
          </w:p>
        </w:tc>
        <w:tc>
          <w:tcPr>
            <w:tcW w:w="56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bl>
    <w:p/>
    <w:sectPr>
      <w:pgSz w:w="16838" w:h="11906" w:orient="landscape"/>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93262"/>
    <w:rsid w:val="28CB76C8"/>
    <w:rsid w:val="47C93262"/>
    <w:rsid w:val="4CFF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TML Definition"/>
    <w:basedOn w:val="4"/>
    <w:uiPriority w:val="0"/>
    <w:rPr>
      <w:i/>
    </w:rPr>
  </w:style>
  <w:style w:type="character" w:styleId="8">
    <w:name w:val="HTML Acronym"/>
    <w:basedOn w:val="4"/>
    <w:qFormat/>
    <w:uiPriority w:val="0"/>
  </w:style>
  <w:style w:type="character" w:styleId="9">
    <w:name w:val="Hyperlink"/>
    <w:basedOn w:val="4"/>
    <w:qFormat/>
    <w:uiPriority w:val="0"/>
    <w:rPr>
      <w:color w:val="333333"/>
      <w:u w:val="none"/>
    </w:rPr>
  </w:style>
  <w:style w:type="character" w:styleId="10">
    <w:name w:val="HTML Code"/>
    <w:basedOn w:val="4"/>
    <w:qFormat/>
    <w:uiPriority w:val="0"/>
    <w:rPr>
      <w:rFonts w:hint="default" w:ascii="monospace" w:hAnsi="monospace" w:eastAsia="monospace" w:cs="monospace"/>
      <w:sz w:val="21"/>
      <w:szCs w:val="21"/>
    </w:rPr>
  </w:style>
  <w:style w:type="character" w:styleId="11">
    <w:name w:val="HTML Keyboard"/>
    <w:basedOn w:val="4"/>
    <w:uiPriority w:val="0"/>
    <w:rPr>
      <w:rFonts w:ascii="monospace" w:hAnsi="monospace" w:eastAsia="monospace" w:cs="monospace"/>
      <w:sz w:val="21"/>
      <w:szCs w:val="21"/>
    </w:rPr>
  </w:style>
  <w:style w:type="character" w:styleId="12">
    <w:name w:val="HTML Sample"/>
    <w:basedOn w:val="4"/>
    <w:qFormat/>
    <w:uiPriority w:val="0"/>
    <w:rPr>
      <w:rFonts w:hint="default" w:ascii="monospace" w:hAnsi="monospace" w:eastAsia="monospace" w:cs="monospace"/>
      <w:sz w:val="21"/>
      <w:szCs w:val="21"/>
    </w:rPr>
  </w:style>
  <w:style w:type="character" w:customStyle="1" w:styleId="13">
    <w:name w:val="button"/>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2021-01-19T07:42:00Z</dcterms:created>
  <dc:creator>雨碎江南</dc:creator>
  <cp:lastModifiedBy>gyb1</cp:lastModifiedBy>
  <dcterms:modified xsi:type="dcterms:W3CDTF">2021-01-19T10:15:12Z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