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sz w:val="44"/>
          <w:szCs w:val="44"/>
          <w:highlight w:val="none"/>
        </w:rPr>
      </w:pPr>
    </w:p>
    <w:p>
      <w:pPr>
        <w:adjustRightInd w:val="0"/>
        <w:snapToGrid w:val="0"/>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黄山区市场监管系统城镇燃气管道“带病运行”问题专项治理工作方案</w:t>
      </w:r>
      <w:r>
        <w:rPr>
          <w:rFonts w:hint="eastAsia" w:ascii="方正小标宋简体" w:hAnsi="方正小标宋简体" w:eastAsia="方正小标宋简体" w:cs="方正小标宋简体"/>
          <w:sz w:val="44"/>
          <w:szCs w:val="44"/>
          <w:highlight w:val="none"/>
          <w:lang w:val="en-US" w:eastAsia="zh-CN"/>
        </w:rPr>
        <w:t>(草案）</w:t>
      </w:r>
    </w:p>
    <w:p>
      <w:pPr>
        <w:adjustRightInd w:val="0"/>
        <w:snapToGrid w:val="0"/>
        <w:spacing w:line="480" w:lineRule="exact"/>
        <w:ind w:firstLine="640" w:firstLineChars="200"/>
        <w:rPr>
          <w:rFonts w:ascii="仿宋_GB2312" w:hAnsi="仿宋_GB2312" w:eastAsia="仿宋_GB2312" w:cs="仿宋_GB2312"/>
          <w:sz w:val="32"/>
          <w:szCs w:val="32"/>
          <w:highlight w:val="none"/>
        </w:rPr>
      </w:pPr>
    </w:p>
    <w:p>
      <w:pPr>
        <w:pStyle w:val="7"/>
        <w:keepNext w:val="0"/>
        <w:keepLines w:val="0"/>
        <w:widowControl/>
        <w:suppressLineNumbers w:val="0"/>
        <w:ind w:left="0" w:firstLine="640"/>
      </w:pPr>
      <w:r>
        <w:rPr>
          <w:rFonts w:ascii="仿宋_GB2312" w:eastAsia="仿宋_GB2312" w:cs="仿宋_GB2312"/>
          <w:color w:val="000000"/>
          <w:sz w:val="31"/>
          <w:szCs w:val="31"/>
        </w:rPr>
        <w:t>为认真贯彻落实习近平总书记重要指示批示精神，深刻汲取</w:t>
      </w:r>
      <w:r>
        <w:rPr>
          <w:rFonts w:hint="default" w:ascii="仿宋_GB2312" w:eastAsia="仿宋_GB2312" w:cs="仿宋_GB2312"/>
          <w:color w:val="000000"/>
          <w:sz w:val="31"/>
          <w:szCs w:val="31"/>
        </w:rPr>
        <w:t>近年来全国城镇燃气安全事故教训，全面加强城镇燃气安全风险隐患排查治理工作，推动全区</w:t>
      </w:r>
      <w:r>
        <w:rPr>
          <w:rFonts w:hint="eastAsia" w:ascii="仿宋_GB2312" w:eastAsia="仿宋_GB2312" w:cs="仿宋_GB2312"/>
          <w:color w:val="000000"/>
          <w:sz w:val="31"/>
          <w:szCs w:val="31"/>
          <w:lang w:eastAsia="zh-CN"/>
        </w:rPr>
        <w:t>市场监管系统</w:t>
      </w:r>
      <w:r>
        <w:rPr>
          <w:rFonts w:hint="default" w:ascii="仿宋_GB2312" w:eastAsia="仿宋_GB2312" w:cs="仿宋_GB2312"/>
          <w:color w:val="000000"/>
          <w:sz w:val="31"/>
          <w:szCs w:val="31"/>
        </w:rPr>
        <w:t>安全生产形势持续稳定向好，切实保障人民群众生命财产安全，根据区</w:t>
      </w:r>
      <w:r>
        <w:rPr>
          <w:rFonts w:hint="eastAsia" w:ascii="仿宋_GB2312" w:eastAsia="仿宋_GB2312" w:cs="仿宋_GB2312"/>
          <w:color w:val="000000"/>
          <w:sz w:val="31"/>
          <w:szCs w:val="31"/>
          <w:lang w:eastAsia="zh-CN"/>
        </w:rPr>
        <w:t>安委办</w:t>
      </w:r>
      <w:r>
        <w:rPr>
          <w:rFonts w:hint="default" w:ascii="仿宋_GB2312" w:eastAsia="仿宋_GB2312" w:cs="仿宋_GB2312"/>
          <w:color w:val="000000"/>
          <w:sz w:val="31"/>
          <w:szCs w:val="31"/>
        </w:rPr>
        <w:t>部署要求，决定在全区范围内部署开展</w:t>
      </w:r>
      <w:r>
        <w:rPr>
          <w:rFonts w:hint="eastAsia" w:ascii="仿宋_GB2312" w:eastAsia="仿宋_GB2312" w:cs="仿宋_GB2312"/>
          <w:color w:val="000000"/>
          <w:sz w:val="31"/>
          <w:szCs w:val="31"/>
          <w:lang w:eastAsia="zh-CN"/>
        </w:rPr>
        <w:t>市场监管系统</w:t>
      </w:r>
      <w:r>
        <w:rPr>
          <w:rFonts w:hint="default" w:ascii="仿宋_GB2312" w:eastAsia="仿宋_GB2312" w:cs="仿宋_GB2312"/>
          <w:color w:val="000000"/>
          <w:sz w:val="31"/>
          <w:szCs w:val="31"/>
        </w:rPr>
        <w:t>城镇燃气管道“带病运行”专项治理工作，现制定方案如下。</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一、总体要求</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（一）指导思想</w:t>
      </w:r>
    </w:p>
    <w:p>
      <w:pPr>
        <w:pStyle w:val="7"/>
        <w:keepNext w:val="0"/>
        <w:keepLines w:val="0"/>
        <w:widowControl/>
        <w:suppressLineNumbers w:val="0"/>
        <w:ind w:left="0" w:firstLine="640"/>
      </w:pPr>
      <w:r>
        <w:rPr>
          <w:rFonts w:ascii="仿宋_GB2312" w:eastAsia="仿宋_GB2312" w:cs="仿宋_GB2312"/>
          <w:color w:val="000000"/>
          <w:sz w:val="31"/>
          <w:szCs w:val="31"/>
        </w:rPr>
        <w:t>以习近平新时代中国特色社会主义思想为指导，深入贯彻落</w:t>
      </w:r>
      <w:r>
        <w:rPr>
          <w:rFonts w:hint="default" w:ascii="仿宋_GB2312" w:eastAsia="仿宋_GB2312" w:cs="仿宋_GB2312"/>
          <w:color w:val="000000"/>
          <w:sz w:val="31"/>
          <w:szCs w:val="31"/>
        </w:rPr>
        <w:t>实习近平总书记关于安全生产特别是城市燃气管道“带病运行”问题的重要指示批示精神，坚持人民至上、生命至上，统筹发展和安全，深刻认识抓好燃气安全工作的重要性、紧迫性，聚焦城镇燃气管道“带病运行”问题和瓶装液化石油气企业生产充装输送，燃气具生产流通，以及监管执法等各环节，</w:t>
      </w:r>
      <w:r>
        <w:rPr>
          <w:rFonts w:hint="eastAsia" w:ascii="仿宋_GB2312" w:eastAsia="仿宋_GB2312" w:cs="仿宋_GB2312"/>
          <w:color w:val="000000"/>
          <w:sz w:val="31"/>
          <w:szCs w:val="31"/>
          <w:lang w:eastAsia="zh-CN"/>
        </w:rPr>
        <w:t>配合</w:t>
      </w:r>
      <w:r>
        <w:rPr>
          <w:rFonts w:hint="default" w:ascii="仿宋_GB2312" w:eastAsia="仿宋_GB2312" w:cs="仿宋_GB2312"/>
          <w:color w:val="000000"/>
          <w:sz w:val="31"/>
          <w:szCs w:val="31"/>
        </w:rPr>
        <w:t>正在开展的全区城镇燃气安全专项整治工作和安全生产治本攻坚三年行动，全面查找整治</w:t>
      </w:r>
      <w:r>
        <w:rPr>
          <w:rFonts w:hint="eastAsia" w:ascii="仿宋_GB2312" w:eastAsia="仿宋_GB2312" w:cs="仿宋_GB2312"/>
          <w:color w:val="000000"/>
          <w:sz w:val="31"/>
          <w:szCs w:val="31"/>
          <w:lang w:eastAsia="zh-CN"/>
        </w:rPr>
        <w:t>市场监管领域</w:t>
      </w:r>
      <w:r>
        <w:rPr>
          <w:rFonts w:hint="default" w:ascii="仿宋_GB2312" w:eastAsia="仿宋_GB2312" w:cs="仿宋_GB2312"/>
          <w:color w:val="000000"/>
          <w:sz w:val="31"/>
          <w:szCs w:val="31"/>
        </w:rPr>
        <w:t>城镇燃气安全风险隐患，推动燃气安全问题清单管理、限期办结、动态清零、闭环销号，严厉打击涉燃气安全各类违法违规行为，坚决防范遏制重特大燃气事故发生，确保城市运行安全和人民生命财产安全。</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（二）工作原则</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安全第一、系统治理。以保障人民群众生命财产安全为根本，坚持安全第一、预防为主、综合治理，紧紧围绕燃气安全“一件事”，聚焦燃气气瓶生产、充装，以及燃气灶具、燃气用连接软管、瓶装液化石油气调压器、可燃气体探测器及燃气紧急切断阀等燃气器具生产、流通，全面系统开展专项整治集中攻坚，守牢安全底线。</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规范监管、压实责任。依法依规实施燃气气瓶生产、充装，以及燃气器具生产、流通的监督管理，强化分层分级管理，切实提高排查整治质量。严格落实城镇燃气相关企业主体责任，完善安全责任体系和管理制度，建立完善末端发力终端见效机制，坚决遏制重特大事故发生。</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——坚持创新引领、数字赋能。加强数字技术应用，推进智慧监管能力建设，全面提升燃气气瓶和燃气器具产品数字化安全监管能力，依靠数字赋能提升产品本质安全水平。</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打建结合、标本兼治。抓紧排查燃气气瓶生产、充装，以及燃气器具生产、流通环节的突出问题，严格查处假冒伪劣产品，严厉打击违法违规行为，加强信用惩戒力度，强化震慑效应。加大特种设备安全和燃气器具质量安全制度供给力度，健全长效工作机制，从根本上消除隐患、解决问题。</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（三）工作目标</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6月底前</w:t>
      </w:r>
      <w:r>
        <w:rPr>
          <w:rFonts w:hint="eastAsia" w:ascii="仿宋_GB2312" w:hAnsi="仿宋_GB2312" w:eastAsia="仿宋_GB2312" w:cs="仿宋_GB2312"/>
          <w:sz w:val="32"/>
          <w:szCs w:val="32"/>
          <w:highlight w:val="none"/>
        </w:rPr>
        <w:t>开展集中攻坚，全面排查整治市场监管领域城镇燃气风险隐患，建立整治台账，切实消除突出风险隐患；到202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年底前，建立严进、严管、重罚的安全监管机制，健全安全监管制度，提升本质安全水平，基本建立市场监管领域城镇燃气安全监管长效机制。</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二、突出重点集中攻坚</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（一）深入排查整治燃气生产、气瓶充装安全风险和事故隐患</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强化对液化石油气的质量安全监管。坚持问题导向，实施分类精准监管，结合通用型企业信用风险分类结果，对发现较大质量安全风险的液化石油气生产经营单位，实施重点监管；对涉嫌存在气质不达标、非法掺混二甲醚等“问题气”的生产经营场所（含充装单位）内所有储气罐的液化石油气实行全覆盖抽样检验，发现存在“问题气”的，要立即责令停止违法行为，及时依法查处，并移送有关发证审批机关依法处理；情节严重的，由有关发证审批机关依法吊销证照。（质量股牵头，综合执法大队、特设股、信用股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严肃查处燃气气瓶充装单位违法违规行为。执行市场监管总局修订后的安全技术规范，落实同一充装地址不得同时充装液化石油气和二甲醚工作要求。对未取得充装许可的单位从事燃气充装的，依法责令关停，并依法依规列入严重违法失信名单。对充装单位不再符合许可条件、未按照消防主管部门要求经消防验收合格、未按安全技术规范要求充装的，依法责令限期改正，情节严重的，吊销充装许可证，并依法依规列入严重违法失信名单。违规充装非本单位办理使用登记气瓶、超期未检气瓶、不合格气瓶、超出设计使用年限气瓶或“黑气瓶”（经翻新的报废气瓶或来历不明的气瓶）的，未按要求送检气瓶的，依法严肃查处，情节严重的，吊销充装许可证，并依法依规列入严重违法失信名单。发现 50kg“气液双相”气瓶液相阀带转换接头的，一律清除。查处的气瓶必须移交气瓶检验机构报废处理，严禁不符合要求气瓶再次流入市场。对充装单位违法违规行为，坚决依法从快从重打击，对涉嫌刑事犯罪的，移送司法机关追究相关人员刑事责任。依托“铁拳”行动案例曝光机制等宣传渠道，及时曝光典型案例，强化执法震慑。（</w:t>
      </w:r>
      <w:r>
        <w:rPr>
          <w:rFonts w:hint="eastAsia" w:ascii="仿宋_GB2312" w:hAnsi="仿宋_GB2312" w:eastAsia="仿宋_GB2312" w:cs="仿宋_GB2312"/>
          <w:sz w:val="32"/>
          <w:szCs w:val="32"/>
          <w:highlight w:val="none"/>
          <w:lang w:eastAsia="zh-CN"/>
        </w:rPr>
        <w:t>特设股</w:t>
      </w:r>
      <w:r>
        <w:rPr>
          <w:rFonts w:hint="eastAsia" w:ascii="仿宋_GB2312" w:hAnsi="仿宋_GB2312" w:eastAsia="仿宋_GB2312" w:cs="仿宋_GB2312"/>
          <w:sz w:val="32"/>
          <w:szCs w:val="32"/>
          <w:highlight w:val="none"/>
        </w:rPr>
        <w:t>牵头，综合执法</w:t>
      </w:r>
      <w:r>
        <w:rPr>
          <w:rFonts w:hint="eastAsia" w:ascii="仿宋_GB2312" w:hAnsi="仿宋_GB2312" w:eastAsia="仿宋_GB2312" w:cs="仿宋_GB2312"/>
          <w:sz w:val="32"/>
          <w:szCs w:val="32"/>
          <w:highlight w:val="none"/>
          <w:lang w:eastAsia="zh-CN"/>
        </w:rPr>
        <w:t>大</w:t>
      </w:r>
      <w:r>
        <w:rPr>
          <w:rFonts w:hint="eastAsia" w:ascii="仿宋_GB2312" w:hAnsi="仿宋_GB2312" w:eastAsia="仿宋_GB2312" w:cs="仿宋_GB2312"/>
          <w:sz w:val="32"/>
          <w:szCs w:val="32"/>
          <w:highlight w:val="none"/>
        </w:rPr>
        <w:t>队、信用</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（二）深入排查整治瓶、灶、管、阀等产品安全风险和事故隐患</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严格燃气气瓶检验环节监管。加大对气瓶检验机构监督检查力度，督促检验机构提高检验工作质量，对气瓶检验机构未严格按照安全技术规范要求开展气瓶定期检验，更换不符合国家标准的瓶阀，以及检验人员挂证、检验人员无证检验、检验报告弄虚作假的，依法责令限期改正，情节严重的，吊销检验机构和有关人员资质，并依法依规列入严重违法失信名单。构成犯罪的，移送司法机关依法追究刑事责任。（</w:t>
      </w:r>
      <w:r>
        <w:rPr>
          <w:rFonts w:hint="eastAsia" w:ascii="仿宋_GB2312" w:hAnsi="仿宋_GB2312" w:eastAsia="仿宋_GB2312" w:cs="仿宋_GB2312"/>
          <w:sz w:val="32"/>
          <w:szCs w:val="32"/>
          <w:highlight w:val="none"/>
          <w:lang w:eastAsia="zh-CN"/>
        </w:rPr>
        <w:t>特设股</w:t>
      </w:r>
      <w:r>
        <w:rPr>
          <w:rFonts w:hint="eastAsia" w:ascii="仿宋_GB2312" w:hAnsi="仿宋_GB2312" w:eastAsia="仿宋_GB2312" w:cs="仿宋_GB2312"/>
          <w:sz w:val="32"/>
          <w:szCs w:val="32"/>
          <w:highlight w:val="none"/>
        </w:rPr>
        <w:t>牵头，综合执法</w:t>
      </w:r>
      <w:r>
        <w:rPr>
          <w:rFonts w:hint="eastAsia" w:ascii="仿宋_GB2312" w:hAnsi="仿宋_GB2312" w:eastAsia="仿宋_GB2312" w:cs="仿宋_GB2312"/>
          <w:sz w:val="32"/>
          <w:szCs w:val="32"/>
          <w:highlight w:val="none"/>
          <w:lang w:eastAsia="zh-CN"/>
        </w:rPr>
        <w:t>大</w:t>
      </w:r>
      <w:r>
        <w:rPr>
          <w:rFonts w:hint="eastAsia" w:ascii="仿宋_GB2312" w:hAnsi="仿宋_GB2312" w:eastAsia="仿宋_GB2312" w:cs="仿宋_GB2312"/>
          <w:sz w:val="32"/>
          <w:szCs w:val="32"/>
          <w:highlight w:val="none"/>
        </w:rPr>
        <w:t>队、信用</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问题瓶”进行严厉查处。聚焦信用风险高的燃气气瓶充装企业，强化重点监管，对发现假冒伪劣的“问题瓶”或存在安全隐患的气瓶立即查封扣押，将办理气瓶使用登记的充装单位依法依规列入严重违法失信名单。气瓶充装单位对不符合国家标准的“气液双相”气瓶要召回并移交检验机构报废处理。</w:t>
      </w:r>
      <w:r>
        <w:rPr>
          <w:rFonts w:hint="eastAsia" w:ascii="仿宋_GB2312" w:hAnsi="仿宋_GB2312" w:eastAsia="仿宋_GB2312" w:cs="仿宋_GB2312"/>
          <w:sz w:val="32"/>
          <w:szCs w:val="32"/>
          <w:highlight w:val="none"/>
          <w:lang w:eastAsia="zh-CN"/>
        </w:rPr>
        <w:t>在检查餐饮场所食品安全时，对其在用气瓶开展摸排，摸排发现或者</w:t>
      </w:r>
      <w:r>
        <w:rPr>
          <w:rFonts w:hint="eastAsia" w:ascii="仿宋_GB2312" w:hAnsi="仿宋_GB2312" w:eastAsia="仿宋_GB2312" w:cs="仿宋_GB2312"/>
          <w:sz w:val="32"/>
          <w:szCs w:val="32"/>
          <w:highlight w:val="none"/>
        </w:rPr>
        <w:t>住建、商务等部门单位发现移送的餐饮企业使用禁止使用的 50kg“气液双相”气瓶，使用不符合国家标准或假冒伪劣的液化石油气瓶的，对其生产、流通企业进行溯源管理，重点查处气瓶生产单位、充装单位、检验单位等在生产、充装、检验过程中存在的违法违规行为，依法实施处罚，并将相关行政处罚信息归集至国家企业信用信息公示系统依法公示。构成犯罪的，移送司法机关依法追究刑事责任。（</w:t>
      </w:r>
      <w:r>
        <w:rPr>
          <w:rFonts w:hint="eastAsia" w:ascii="仿宋_GB2312" w:hAnsi="仿宋_GB2312" w:eastAsia="仿宋_GB2312" w:cs="仿宋_GB2312"/>
          <w:sz w:val="32"/>
          <w:szCs w:val="32"/>
          <w:highlight w:val="none"/>
          <w:lang w:eastAsia="zh-CN"/>
        </w:rPr>
        <w:t>特设股</w:t>
      </w:r>
      <w:r>
        <w:rPr>
          <w:rFonts w:hint="eastAsia" w:ascii="仿宋_GB2312" w:hAnsi="仿宋_GB2312" w:eastAsia="仿宋_GB2312" w:cs="仿宋_GB2312"/>
          <w:sz w:val="32"/>
          <w:szCs w:val="32"/>
          <w:highlight w:val="none"/>
        </w:rPr>
        <w:t>牵头，综合执法</w:t>
      </w:r>
      <w:r>
        <w:rPr>
          <w:rFonts w:hint="eastAsia" w:ascii="仿宋_GB2312" w:hAnsi="仿宋_GB2312" w:eastAsia="仿宋_GB2312" w:cs="仿宋_GB2312"/>
          <w:sz w:val="32"/>
          <w:szCs w:val="32"/>
          <w:highlight w:val="none"/>
          <w:lang w:eastAsia="zh-CN"/>
        </w:rPr>
        <w:t>大</w:t>
      </w:r>
      <w:r>
        <w:rPr>
          <w:rFonts w:hint="eastAsia" w:ascii="仿宋_GB2312" w:hAnsi="仿宋_GB2312" w:eastAsia="仿宋_GB2312" w:cs="仿宋_GB2312"/>
          <w:sz w:val="32"/>
          <w:szCs w:val="32"/>
          <w:highlight w:val="none"/>
        </w:rPr>
        <w:t>队、信用</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对燃气器具生产经营单位进行全面摸排。对燃气灶具、软管、调压器、可燃气体探测器及燃气紧急切断阀的生产和销售单位开展全面摸排，建立生产和销售单位台账和质量安全档案。各市场监管所要及时将生产和销售单位及相关质量安全信息录入省工业产品质量安全主体责任信息平台。聚焦信用风险高的燃气器具及相关产品的生产销售单位，强化重点监管。（质量股牵头，信用股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加强燃气器具生产经营单位监督抽查。加大质量监督抽查经费投入，加大经营单位产品抽查覆盖率，及时公布抽查结果，对发现不合格的产品及时查封，严防流入市场。建立监督抽查发现产品质量安全重大风险隐患快速应对机制。对抽查发现存在重大质量安全风险的产品，辖区市场监管所在收到监督抽查初检报告后，第一时间组织开展核查处置工作，督促产品生产经营单位履行质量安全主体责任和法定义务，立即封存存在重大质量安全风险的产品，防控和消除产品质量安全风险隐患，涉嫌违法的要及时立案查处，同时报告上级市场监管部门。（质量股牵头，综合执法大队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加强燃气器具经营环节监督检查。加大监督检查频次，督促指导销售单位建立进货查验、入库验收等台账制度。以农村地区及城乡接合部的批发市场、商超、五金店为重点，重点检查燃气灶具是否具有熄火保护装置，调压器出口压力是否不可调节，家用调压器出口为软管接头时是否有切断安全装置，商用调压器出口是否为螺纹连接，家用燃气用橡胶和塑料软管是否有产品名称、生产日期、使用期限等，对发现的问题立即依法处置。要压实电商平台对平台内经营者的管理责任，督促电商平台严格履行对平台内经营者资质核验、登记、更新、建档的主体责任，建立健全对平台内经营者及其发布的商品或者服务信息的检查监控制度。销售单位违规在有形市场或电商平台销售不符合安全标准、假冒伪劣的“问题阀”、“问题软管”、“问题灶”等燃气器具及配件、未经强制性产品认证的家用燃气灶具的，要责令立即停止违法行为，对相关经营主体予以行政处罚、对相关人员依法实施任职资格限制，并将相关行政处罚信息归集至国家企业信用信息公示系统依法公示，实施联合惩戒等。督促平台对发现的不合格产品立即下架处理，追踪溯源，实施源头治理。（质量股牵头，综合执法大队、信用股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6.对移送的“问题灶、管、阀”进行溯源管理。</w:t>
      </w:r>
      <w:r>
        <w:rPr>
          <w:rFonts w:hint="eastAsia" w:ascii="仿宋_GB2312" w:hAnsi="仿宋_GB2312" w:eastAsia="仿宋_GB2312" w:cs="仿宋_GB2312"/>
          <w:sz w:val="32"/>
          <w:szCs w:val="32"/>
          <w:highlight w:val="none"/>
          <w:lang w:eastAsia="zh-CN"/>
        </w:rPr>
        <w:t>在检查餐饮场所食品安全时，对其在用燃气相关产品开展摸排，摸排发现或</w:t>
      </w:r>
      <w:r>
        <w:rPr>
          <w:rFonts w:hint="eastAsia" w:ascii="仿宋_GB2312" w:hAnsi="仿宋_GB2312" w:eastAsia="仿宋_GB2312" w:cs="仿宋_GB2312"/>
          <w:sz w:val="32"/>
          <w:szCs w:val="32"/>
          <w:highlight w:val="none"/>
        </w:rPr>
        <w:t>住建、商务等部门单位发现移送的餐饮企业使用的可调节出口压力的调压器，对燃烧器具进行中压供气，使用不符合国家标准或假冒伪劣的可燃气体探测器及燃气紧急切断阀、调压器、软管、灶具等燃气器具及配件的，要对其生产销售单位进行溯源管理，将生产销售单位列为重点监管对象，对违法违规行为依法严惩，涉嫌犯罪的移送公安机关。加强宣传引导，发放燃气器具消费提示，引导单位用户和消费者主动识别并拒绝购买不符合强制性标准要求的产品。（质量股牵头，综合执法支大队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（三）深入排查整治燃气压力管道安全风险和事故隐患</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1.加强燃气压力管道</w:t>
      </w:r>
      <w:r>
        <w:rPr>
          <w:rFonts w:hint="eastAsia" w:ascii="仿宋_GB2312" w:hAnsi="仿宋_GB2312" w:eastAsia="仿宋_GB2312" w:cs="仿宋_GB2312"/>
          <w:sz w:val="32"/>
          <w:szCs w:val="32"/>
          <w:highlight w:val="none"/>
          <w:lang w:eastAsia="zh-CN"/>
        </w:rPr>
        <w:t>安装</w:t>
      </w:r>
      <w:r>
        <w:rPr>
          <w:rFonts w:hint="eastAsia" w:ascii="仿宋_GB2312" w:hAnsi="仿宋_GB2312" w:eastAsia="仿宋_GB2312" w:cs="仿宋_GB2312"/>
          <w:sz w:val="32"/>
          <w:szCs w:val="32"/>
          <w:highlight w:val="none"/>
        </w:rPr>
        <w:t>环节监管。按照《</w:t>
      </w:r>
      <w:bookmarkStart w:id="0" w:name="_GoBack"/>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特种设备安全法</w:t>
      </w:r>
      <w:bookmarkEnd w:id="0"/>
      <w:r>
        <w:rPr>
          <w:rFonts w:hint="eastAsia" w:ascii="仿宋_GB2312" w:hAnsi="仿宋_GB2312" w:eastAsia="仿宋_GB2312" w:cs="仿宋_GB2312"/>
          <w:sz w:val="32"/>
          <w:szCs w:val="32"/>
          <w:highlight w:val="none"/>
        </w:rPr>
        <w:t>》和安全技术规范要求，严格实施新建及更新改造燃气压力管道施工告知和安装监督检验，对违法违规的依法处罚，并将相关行政处罚信息归集至国家企业信用信息公示系统依法公示。（</w:t>
      </w:r>
      <w:r>
        <w:rPr>
          <w:rFonts w:hint="eastAsia" w:ascii="仿宋_GB2312" w:hAnsi="仿宋_GB2312" w:eastAsia="仿宋_GB2312" w:cs="仿宋_GB2312"/>
          <w:sz w:val="32"/>
          <w:szCs w:val="32"/>
          <w:highlight w:val="none"/>
          <w:lang w:eastAsia="zh-CN"/>
        </w:rPr>
        <w:t>特设股</w:t>
      </w:r>
      <w:r>
        <w:rPr>
          <w:rFonts w:hint="eastAsia" w:ascii="仿宋_GB2312" w:hAnsi="仿宋_GB2312" w:eastAsia="仿宋_GB2312" w:cs="仿宋_GB2312"/>
          <w:sz w:val="32"/>
          <w:szCs w:val="32"/>
          <w:highlight w:val="none"/>
        </w:rPr>
        <w:t>牵头，信用</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严格落实燃气压力管道定期检验制度。配合住建部门，督促燃气压力管道使用单位落实安全主体责任、制定检验计划、依法履行燃气压力管道法定检验义务，及时发现和消除安全隐患。对特种设备检验机构未严格按照安全技术规范要求开展燃气压力管道及相关压力容器定期检验，以及检验人员挂证、检验人员无证检验、检验报告弄虚作假的，依法责令限期改正，情节严重的，吊销检验机构和有关人员资质，并依法依规列入严重违法失信名单。（特设股牵头，信用股按职责分工负责，各市场监管所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（四）加强监管执法薄弱环节排查整治</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.加强对生产销售企业的监管执法。对燃气气瓶</w:t>
      </w:r>
      <w:r>
        <w:rPr>
          <w:rFonts w:hint="eastAsia" w:ascii="仿宋_GB2312" w:hAnsi="仿宋_GB2312" w:eastAsia="仿宋_GB2312" w:cs="仿宋_GB2312"/>
          <w:sz w:val="32"/>
          <w:szCs w:val="32"/>
          <w:highlight w:val="none"/>
          <w:lang w:eastAsia="zh-CN"/>
        </w:rPr>
        <w:t>充装企业，</w:t>
      </w:r>
      <w:r>
        <w:rPr>
          <w:rFonts w:hint="eastAsia" w:ascii="仿宋_GB2312" w:hAnsi="仿宋_GB2312" w:eastAsia="仿宋_GB2312" w:cs="仿宋_GB2312"/>
          <w:sz w:val="32"/>
          <w:szCs w:val="32"/>
          <w:highlight w:val="none"/>
        </w:rPr>
        <w:t>燃气器具及配件、可燃气体探测器及燃气紧急切断阀销售企业加强监管执法，采用约谈、出具监察指令书、责令整改、责令下架、责令停产停业、吊销资格证书等方式，强化监管执法，加强行刑衔接，及时将执法结果公开，发挥社会监督作用，引导用户自觉选择安全产品。（综合执法</w:t>
      </w:r>
      <w:r>
        <w:rPr>
          <w:rFonts w:hint="eastAsia" w:ascii="仿宋_GB2312" w:hAnsi="仿宋_GB2312" w:eastAsia="仿宋_GB2312" w:cs="仿宋_GB2312"/>
          <w:sz w:val="32"/>
          <w:szCs w:val="32"/>
          <w:highlight w:val="none"/>
          <w:lang w:eastAsia="zh-CN"/>
        </w:rPr>
        <w:t>大</w:t>
      </w:r>
      <w:r>
        <w:rPr>
          <w:rFonts w:hint="eastAsia" w:ascii="仿宋_GB2312" w:hAnsi="仿宋_GB2312" w:eastAsia="仿宋_GB2312" w:cs="仿宋_GB2312"/>
          <w:sz w:val="32"/>
          <w:szCs w:val="32"/>
          <w:highlight w:val="none"/>
        </w:rPr>
        <w:t>队牵头，特设</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、产品</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三、综合施策提升本质安全水平</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（一）切实落实企业安全主体责任</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严格落实燃气气瓶充装单位安全主体责任。督促指导燃气气瓶充装单位按照《特种设备使用单位落实使用安全主体责任监督管理规定》，全面落实安全主体责任，建立健全安全生产规章制度和监督落实机制，建立企业安全风险隐患清单并实行闭环管理。督促燃气气瓶充装单位按要求配备气瓶安全总监和气瓶安全员，严格落实主要负责人、安全生产管理人员、特种设备作业人员培训考核制度，以及日管控、周排查、月调度工作制度。（特</w:t>
      </w:r>
      <w:r>
        <w:rPr>
          <w:rFonts w:hint="eastAsia" w:ascii="仿宋_GB2312" w:hAnsi="仿宋_GB2312" w:eastAsia="仿宋_GB2312" w:cs="仿宋_GB2312"/>
          <w:sz w:val="32"/>
          <w:szCs w:val="32"/>
          <w:highlight w:val="none"/>
          <w:lang w:eastAsia="zh-CN"/>
        </w:rPr>
        <w:t>设股</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，甘棠</w:t>
      </w:r>
      <w:r>
        <w:rPr>
          <w:rFonts w:hint="eastAsia" w:ascii="仿宋_GB2312" w:hAnsi="仿宋_GB2312" w:eastAsia="仿宋_GB2312" w:cs="仿宋_GB2312"/>
          <w:sz w:val="32"/>
          <w:szCs w:val="32"/>
          <w:highlight w:val="none"/>
        </w:rPr>
        <w:t>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严格落实燃气器具生产销售单位质量安全主体责任。督促燃气器具生产销售单位全面落实《工业产品生产单位落实质量安全主体责任监督管理规定》和《工业产品销售单位落实质量安全主体责任监督管理规定》，督促燃气灶具等产品的生产销售单位按要求配备质量安全总监和质量安全员，针对产品质量安全管理制度建设情况，日管控、周排查、月调度工作制度落实情况，生产单位进货查验、入库验收、出厂检验等信息记录情况，销售单位进货查验、入库验收等信息记录情况进行深入排查，对存在的安全隐患及时进行整改，消除潜在风险。（质量股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（二）规范城镇燃气工程安装收费行为</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认真落实国家、省工作部署，加强城镇燃气工程安装价格收费监管，重点整治收取明令取消的费用、向用户转嫁应由自身承担的费用等违规收费行为，推动城镇燃气工程安装价格收费监管社会共治。（</w:t>
      </w:r>
      <w:r>
        <w:rPr>
          <w:rFonts w:hint="eastAsia" w:ascii="仿宋_GB2312" w:hAnsi="仿宋_GB2312" w:eastAsia="仿宋_GB2312" w:cs="仿宋_GB2312"/>
          <w:sz w:val="32"/>
          <w:szCs w:val="32"/>
          <w:highlight w:val="none"/>
          <w:lang w:eastAsia="zh-CN"/>
        </w:rPr>
        <w:t>市场股</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（三）推进燃气安全监管智能化建设</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加强燃气气瓶信息化追溯管理。提升燃气气瓶充装追溯体系建设和监管水平，全面推行燃气气瓶可追溯唯一编号、充装追溯赋码建档和充装自动识别，健全追溯赋码系统应用规则，通过电子标签或二维码等信息技术手段，加强气瓶信息追溯管理。推行可视化气瓶充装、检验监管模式，通过加装固定摄像头等可视化信息技术手段对气瓶充装、检验过程进行实时全过程监督管理。（特</w:t>
      </w:r>
      <w:r>
        <w:rPr>
          <w:rFonts w:hint="eastAsia" w:ascii="仿宋_GB2312" w:hAnsi="仿宋_GB2312" w:eastAsia="仿宋_GB2312" w:cs="仿宋_GB2312"/>
          <w:sz w:val="32"/>
          <w:szCs w:val="32"/>
          <w:highlight w:val="none"/>
          <w:lang w:eastAsia="zh-CN"/>
        </w:rPr>
        <w:t>设股</w:t>
      </w:r>
      <w:r>
        <w:rPr>
          <w:rFonts w:hint="eastAsia" w:ascii="仿宋_GB2312" w:hAnsi="仿宋_GB2312" w:eastAsia="仿宋_GB2312" w:cs="仿宋_GB2312"/>
          <w:sz w:val="32"/>
          <w:szCs w:val="32"/>
          <w:highlight w:val="none"/>
        </w:rPr>
        <w:t>牵头，办公室按职责分工负责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加强燃气器具质量安全信息追溯管理。对已纳入强制性产品认证的家用燃气灶等产品和拟恢复生产许可管理或者纳入强制性产品认证的商用燃气灶、软管、调压器、可燃气体探测器及燃气紧急切断阀等产品，要推进实施产品质量安全信息追溯管理。（质量股牵头，办公室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（四）完善管理制度</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1.完善气瓶充装许可监督抽查机制。将</w:t>
      </w:r>
      <w:r>
        <w:rPr>
          <w:rFonts w:hint="eastAsia" w:ascii="仿宋_GB2312" w:hAnsi="仿宋_GB2312" w:eastAsia="仿宋_GB2312" w:cs="仿宋_GB2312"/>
          <w:sz w:val="32"/>
          <w:szCs w:val="32"/>
          <w:highlight w:val="none"/>
          <w:lang w:eastAsia="zh-CN"/>
        </w:rPr>
        <w:t>气瓶</w:t>
      </w:r>
      <w:r>
        <w:rPr>
          <w:rFonts w:hint="eastAsia" w:ascii="仿宋_GB2312" w:hAnsi="仿宋_GB2312" w:eastAsia="仿宋_GB2312" w:cs="仿宋_GB2312"/>
          <w:sz w:val="32"/>
          <w:szCs w:val="32"/>
          <w:highlight w:val="none"/>
        </w:rPr>
        <w:t>充装单位和检验机构纳入重点监督检查范围，加大抽查频次；对相关单位依法实施联合惩戒，定期通报一批、重罚一批、停产整顿一批。（特</w:t>
      </w:r>
      <w:r>
        <w:rPr>
          <w:rFonts w:hint="eastAsia" w:ascii="仿宋_GB2312" w:hAnsi="仿宋_GB2312" w:eastAsia="仿宋_GB2312" w:cs="仿宋_GB2312"/>
          <w:sz w:val="32"/>
          <w:szCs w:val="32"/>
          <w:highlight w:val="none"/>
          <w:lang w:eastAsia="zh-CN"/>
        </w:rPr>
        <w:t>设股牵头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综合行政执法大队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信用股</w:t>
      </w:r>
      <w:r>
        <w:rPr>
          <w:rFonts w:hint="eastAsia" w:ascii="仿宋_GB2312" w:hAnsi="仿宋_GB2312" w:eastAsia="仿宋_GB2312" w:cs="仿宋_GB2312"/>
          <w:sz w:val="32"/>
          <w:szCs w:val="32"/>
          <w:highlight w:val="none"/>
        </w:rPr>
        <w:t>、注册局按职责分工负责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完善燃气器具准入管理和定期抽查机制。认真落实对涉及公共安全等特殊领域依法依规加强监管的要求，完善燃气器具及配件市场监管规定。对商用燃气灶、软管、调压器、可燃气体探测器及燃气紧急切断阀逐步实施准入管理，纳入强制性产品认证范围或者恢复生产许可。建立对燃气器具等产品质量定期抽查机制，发现存在质量安全隐患的及时清出市场，对生产销售单位依法实施联合惩戒，定期通报一批、重罚一批、停产整顿一批。（质量股牵头，信用股、登记注册局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（五）严格执行有关法规标准</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1.严格执行修订后的燃气相关特种设备法规标准。组织实施修订后燃气气瓶、燃气压力管道的充装、使用、检验等环节安全监管法规规范以及《液化石油气钢瓶》《液化石油气瓶阀》国家标准。（特</w:t>
      </w:r>
      <w:r>
        <w:rPr>
          <w:rFonts w:hint="eastAsia" w:ascii="仿宋_GB2312" w:hAnsi="仿宋_GB2312" w:eastAsia="仿宋_GB2312" w:cs="仿宋_GB2312"/>
          <w:sz w:val="32"/>
          <w:szCs w:val="32"/>
          <w:highlight w:val="none"/>
          <w:lang w:eastAsia="zh-CN"/>
        </w:rPr>
        <w:t>设股</w:t>
      </w:r>
      <w:r>
        <w:rPr>
          <w:rFonts w:hint="eastAsia" w:ascii="仿宋_GB2312" w:hAnsi="仿宋_GB2312" w:eastAsia="仿宋_GB2312" w:cs="仿宋_GB2312"/>
          <w:sz w:val="32"/>
          <w:szCs w:val="32"/>
          <w:highlight w:val="none"/>
        </w:rPr>
        <w:t>牵头，</w:t>
      </w:r>
      <w:r>
        <w:rPr>
          <w:rFonts w:hint="eastAsia" w:ascii="仿宋_GB2312" w:hAnsi="仿宋_GB2312" w:eastAsia="仿宋_GB2312" w:cs="仿宋_GB2312"/>
          <w:sz w:val="32"/>
          <w:szCs w:val="32"/>
          <w:highlight w:val="none"/>
          <w:lang w:eastAsia="zh-CN"/>
        </w:rPr>
        <w:t>质量股</w:t>
      </w:r>
      <w:r>
        <w:rPr>
          <w:rFonts w:hint="eastAsia" w:ascii="仿宋_GB2312" w:hAnsi="仿宋_GB2312" w:eastAsia="仿宋_GB2312" w:cs="仿宋_GB2312"/>
          <w:sz w:val="32"/>
          <w:szCs w:val="32"/>
          <w:highlight w:val="none"/>
        </w:rPr>
        <w:t>按职责分工负责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tabs>
          <w:tab w:val="left" w:pos="420"/>
        </w:tabs>
        <w:adjustRightInd w:val="0"/>
        <w:snapToGrid w:val="0"/>
        <w:spacing w:line="560" w:lineRule="exact"/>
        <w:ind w:firstLine="640" w:firstLineChars="200"/>
        <w:rPr>
          <w:rFonts w:ascii="华文仿宋" w:hAnsi="华文仿宋" w:eastAsia="华文仿宋" w:cs="仿宋_GB2312"/>
          <w:sz w:val="32"/>
          <w:szCs w:val="32"/>
          <w:highlight w:val="none"/>
        </w:rPr>
      </w:pPr>
      <w:r>
        <w:rPr>
          <w:rFonts w:hint="eastAsia" w:ascii="仿宋_GB2312" w:hAnsi="仿宋_GB2312" w:eastAsia="仿宋_GB2312" w:cs="仿宋_GB2312"/>
          <w:sz w:val="32"/>
          <w:szCs w:val="32"/>
          <w:highlight w:val="none"/>
        </w:rPr>
        <w:t>2.严格执行修订后的燃气器具相关产品标准。组织实施修订后的《商用燃气燃烧器具》《燃气用具连接用金属包覆软管》《燃气用具连接用橡胶复合软管》《燃气输送用不锈钢波纹软管及管件》《电磁式燃气紧急切断阀》等国家标准。（质量股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组织落实）</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（六）加强宣传教育提升安全素养</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充分利用广播电视、网络媒介、挂图、公益广告等宣传介质，通过特种设备安全知识“五进”活动、编制事故警示短片等各类方法手段，广泛进行燃气相关特种设备，燃气器具产品法律法规、安全常识、案例警示等内容的宣传教育，提高群众安全意识，调动各方积极性，形成人人懂安全、人人关注安全、人人监督安全的社会氛围。（办公室牵头，信用</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市股</w:t>
      </w:r>
      <w:r>
        <w:rPr>
          <w:rFonts w:hint="eastAsia" w:ascii="仿宋_GB2312" w:hAnsi="仿宋_GB2312" w:eastAsia="仿宋_GB2312" w:cs="仿宋_GB2312"/>
          <w:sz w:val="32"/>
          <w:szCs w:val="32"/>
          <w:highlight w:val="none"/>
        </w:rPr>
        <w:t>、质量</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、特设</w:t>
      </w:r>
      <w:r>
        <w:rPr>
          <w:rFonts w:hint="eastAsia" w:ascii="仿宋_GB2312" w:hAnsi="仿宋_GB2312" w:eastAsia="仿宋_GB2312" w:cs="仿宋_GB2312"/>
          <w:sz w:val="32"/>
          <w:szCs w:val="32"/>
          <w:highlight w:val="none"/>
          <w:lang w:eastAsia="zh-CN"/>
        </w:rPr>
        <w:t>股</w:t>
      </w:r>
      <w:r>
        <w:rPr>
          <w:rFonts w:hint="eastAsia" w:ascii="仿宋_GB2312" w:hAnsi="仿宋_GB2312" w:eastAsia="仿宋_GB2312" w:cs="仿宋_GB2312"/>
          <w:sz w:val="32"/>
          <w:szCs w:val="32"/>
          <w:highlight w:val="none"/>
        </w:rPr>
        <w:t>、按职责分工负责）</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四、工作安排</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（一）集中攻坚阶段（</w:t>
      </w:r>
      <w:r>
        <w:rPr>
          <w:rFonts w:hint="eastAsia" w:ascii="楷体_GB2312" w:hAnsi="楷体_GB2312" w:eastAsia="楷体_GB2312" w:cs="楷体_GB2312"/>
          <w:sz w:val="32"/>
          <w:szCs w:val="32"/>
          <w:highlight w:val="none"/>
          <w:lang w:eastAsia="zh-CN"/>
        </w:rPr>
        <w:t>现在</w:t>
      </w:r>
      <w:r>
        <w:rPr>
          <w:rFonts w:hint="eastAsia" w:ascii="楷体_GB2312" w:hAnsi="楷体_GB2312" w:eastAsia="楷体_GB2312" w:cs="楷体_GB2312"/>
          <w:sz w:val="32"/>
          <w:szCs w:val="32"/>
          <w:highlight w:val="none"/>
        </w:rPr>
        <w:t>至202</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eastAsia="zh-CN"/>
        </w:rPr>
        <w:t>底</w:t>
      </w:r>
      <w:r>
        <w:rPr>
          <w:rFonts w:hint="eastAsia" w:ascii="楷体_GB2312" w:hAnsi="楷体_GB2312" w:eastAsia="楷体_GB2312" w:cs="楷体_GB2312"/>
          <w:sz w:val="32"/>
          <w:szCs w:val="32"/>
          <w:highlight w:val="none"/>
        </w:rPr>
        <w:t>）</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各市场监管</w:t>
      </w:r>
      <w:r>
        <w:rPr>
          <w:rFonts w:hint="eastAsia" w:ascii="仿宋_GB2312" w:hAnsi="仿宋_GB2312" w:eastAsia="仿宋_GB2312" w:cs="仿宋_GB2312"/>
          <w:sz w:val="32"/>
          <w:szCs w:val="32"/>
          <w:highlight w:val="none"/>
          <w:lang w:eastAsia="zh-CN"/>
        </w:rPr>
        <w:t>所、相关股室</w:t>
      </w:r>
      <w:r>
        <w:rPr>
          <w:rFonts w:hint="eastAsia" w:ascii="仿宋_GB2312" w:hAnsi="仿宋_GB2312" w:eastAsia="仿宋_GB2312" w:cs="仿宋_GB2312"/>
          <w:sz w:val="32"/>
          <w:szCs w:val="32"/>
          <w:highlight w:val="none"/>
        </w:rPr>
        <w:t>协调配合有关部门按照国务院安委会、市场监管总局、省市安委会、市场监管局有关城镇燃气安全专项整治工作要求，以涉及燃气的瓶、灶、管、阀和充装单位为重点，结合本地区产业特点和安全风险分析情况。在督促相关企业对照专项整治任务和要求进行自查自改的基础上，进一步深挖细查风险隐患，对排查出的风险隐患实行清单管理，明确整改责任单位和整改要求，坚持边查边改、立查立改，对排查整治中发现的违法违规问题要加大执法打击力度，真正发现问题、真正整改到位。对于特种设备重大事故隐患治理执行“一单四制”制度。加强全社会共同监督，运用 12315 投诉热线受理群众和企业员工举报监督。协调配合有关部门加大对违法违规行为的联合惩戒力度，依法追究相关单位和人员责任。要集中曝光一批典型执法案例，强化震慑效力，形成严厉惩处违法违规行为的高压态势。</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（二）全面巩固提升阶段（</w:t>
      </w:r>
      <w:r>
        <w:rPr>
          <w:rFonts w:hint="eastAsia" w:ascii="楷体_GB2312" w:hAnsi="楷体_GB2312" w:eastAsia="楷体_GB2312" w:cs="楷体_GB2312"/>
          <w:sz w:val="32"/>
          <w:szCs w:val="32"/>
          <w:highlight w:val="none"/>
          <w:lang w:eastAsia="zh-CN"/>
        </w:rPr>
        <w:t>至</w:t>
      </w: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eastAsia="zh-CN"/>
        </w:rPr>
        <w:t>底</w:t>
      </w:r>
      <w:r>
        <w:rPr>
          <w:rFonts w:hint="eastAsia" w:ascii="楷体_GB2312" w:hAnsi="楷体_GB2312" w:eastAsia="楷体_GB2312" w:cs="楷体_GB2312"/>
          <w:sz w:val="32"/>
          <w:szCs w:val="32"/>
          <w:highlight w:val="none"/>
        </w:rPr>
        <w:t>）</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集中攻坚的基础上，再用半年左右时间，基本建立燃气气瓶、燃气器具安全风险管控和隐患排查治理工作机制，切实加强燃气气瓶、燃气器具及配件市场治理整顿，从源头严控安全隐患。要盯牢风险隐患整改，全面完成排查出安全隐患的整治，及时开展排查整治“回头看”，通过持续深入开展隐患排查治理，切实巩固集中攻坚成效。</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（三）建立长效机制阶段（至202</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eastAsia="zh-CN"/>
        </w:rPr>
        <w:t>底</w:t>
      </w:r>
      <w:r>
        <w:rPr>
          <w:rFonts w:hint="eastAsia" w:ascii="楷体_GB2312" w:hAnsi="楷体_GB2312" w:eastAsia="楷体_GB2312" w:cs="楷体_GB2312"/>
          <w:sz w:val="32"/>
          <w:szCs w:val="32"/>
          <w:highlight w:val="none"/>
        </w:rPr>
        <w:t>）</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深入剖析城镇燃气安全隐患产生的深层次原因，认真总结推广专项整治中行之有效的经验做法，健全制度规定和各项政策措施，基本建立市场监管领域燃气安全监管长效机制。</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五、保障措施</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（一）加强组织领导</w:t>
      </w:r>
    </w:p>
    <w:p>
      <w:pPr>
        <w:adjustRightInd w:val="0"/>
        <w:snapToGrid w:val="0"/>
        <w:spacing w:line="560" w:lineRule="exact"/>
        <w:ind w:firstLine="640" w:firstLineChars="200"/>
        <w:rPr>
          <w:rFonts w:ascii="华文仿宋" w:hAnsi="华文仿宋" w:eastAsia="华文仿宋" w:cs="仿宋_GB2312"/>
          <w:sz w:val="32"/>
          <w:szCs w:val="32"/>
          <w:highlight w:val="none"/>
        </w:rPr>
      </w:pPr>
      <w:r>
        <w:rPr>
          <w:rFonts w:hint="eastAsia" w:ascii="仿宋_GB2312" w:hAnsi="仿宋_GB2312" w:eastAsia="仿宋_GB2312" w:cs="仿宋_GB2312"/>
          <w:sz w:val="32"/>
          <w:szCs w:val="32"/>
          <w:highlight w:val="none"/>
        </w:rPr>
        <w:t>依据任务分工，认真履职尽责，积极配合住建、商务、应急、公安、消防救援等各有关部门开展专项整治工作，加强工作衔接，增强工作合力。主要负责人亲自部署、狠抓落实，建立完善协调机制，定期听取工作情况汇报，及时解决专项整治中出现的重大问题。对检查发现的重大隐患和突出问题，要及时向当地党委和政府报告。</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（二）压实责任措施</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深入领会国务院安委会、市场监管总局、省市</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安委会、市场监管局有关城镇燃气安全专项整治工作部署要求，依据市场监管部门的监管职责，结合本地实际，压实责任，细化措施，明确工作进度和工作要求。坚决防止推诿扯皮、责任悬空，切实把城镇燃气安全整治的责任和压力传导到基层末梢。要结合行风建设三年攻坚行动，着力加强城镇燃气领域监管执法行风治理；要突出重点领域，深挖问题隐患，紧盯整改进度和质量；对排查整治不深不细或者问题整改不到位的，要启动责任倒查追究机制。</w:t>
      </w:r>
    </w:p>
    <w:p>
      <w:pPr>
        <w:adjustRightInd w:val="0"/>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（三）加强督导检查</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市场监管局城镇燃气安全专项整治工作专班围绕摸清底数、查清安全风险隐患、治理突出问题、查处违法违规行为、排查整治执法薄弱环节、建立长效机制等重点工作，制定考核验收标准和办法，对专项整治行动进行验收考核。对于专项整治不扎实、不深入、走过场的，要采取约谈、通报、问责等方式督促加大整治力度，切实提高排查整治质效。</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各市场监管所</w:t>
      </w:r>
      <w:r>
        <w:rPr>
          <w:rFonts w:hint="eastAsia" w:ascii="仿宋_GB2312" w:hAnsi="仿宋_GB2312" w:eastAsia="仿宋_GB2312" w:cs="仿宋_GB2312"/>
          <w:sz w:val="32"/>
          <w:szCs w:val="32"/>
          <w:highlight w:val="none"/>
        </w:rPr>
        <w:t>自202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月起每</w:t>
      </w:r>
      <w:r>
        <w:rPr>
          <w:rFonts w:hint="eastAsia" w:ascii="仿宋_GB2312" w:hAnsi="仿宋_GB2312" w:eastAsia="仿宋_GB2312" w:cs="仿宋_GB2312"/>
          <w:sz w:val="32"/>
          <w:szCs w:val="32"/>
          <w:highlight w:val="none"/>
          <w:lang w:eastAsia="zh-CN"/>
        </w:rPr>
        <w:t>周四上午下班</w:t>
      </w:r>
      <w:r>
        <w:rPr>
          <w:rFonts w:hint="eastAsia" w:ascii="仿宋_GB2312" w:hAnsi="仿宋_GB2312" w:eastAsia="仿宋_GB2312" w:cs="仿宋_GB2312"/>
          <w:sz w:val="32"/>
          <w:szCs w:val="32"/>
          <w:highlight w:val="none"/>
        </w:rPr>
        <w:t>前上报《市场监管系统城镇燃气安全专项整治行动成果统计表》（见附件）和专项整治行动进展情况，并梳理总结本地区专项整治行动成果，汇总形成阶段性工作总结报送</w:t>
      </w:r>
      <w:r>
        <w:rPr>
          <w:rFonts w:hint="eastAsia" w:ascii="仿宋_GB2312" w:hAnsi="仿宋_GB2312" w:eastAsia="仿宋_GB2312" w:cs="仿宋_GB2312"/>
          <w:sz w:val="32"/>
          <w:szCs w:val="32"/>
          <w:highlight w:val="none"/>
          <w:lang w:eastAsia="zh-CN"/>
        </w:rPr>
        <w:t>区局燃气</w:t>
      </w:r>
      <w:r>
        <w:rPr>
          <w:rFonts w:hint="eastAsia" w:ascii="仿宋_GB2312" w:hAnsi="仿宋_GB2312" w:eastAsia="仿宋_GB2312" w:cs="仿宋_GB2312"/>
          <w:sz w:val="32"/>
          <w:szCs w:val="32"/>
          <w:highlight w:val="none"/>
        </w:rPr>
        <w:t>工作专班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重要问题及时报告。</w:t>
      </w:r>
    </w:p>
    <w:p>
      <w:pPr>
        <w:tabs>
          <w:tab w:val="left" w:pos="420"/>
        </w:tabs>
        <w:adjustRightInd w:val="0"/>
        <w:snapToGrid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eastAsia="zh-CN"/>
        </w:rPr>
        <w:t>特设股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8532725</w:t>
      </w:r>
    </w:p>
    <w:p>
      <w:pPr>
        <w:tabs>
          <w:tab w:val="left" w:pos="420"/>
        </w:tabs>
        <w:adjustRightInd w:val="0"/>
        <w:snapToGrid w:val="0"/>
        <w:spacing w:line="560" w:lineRule="exact"/>
        <w:ind w:firstLine="2240" w:firstLineChars="7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质量股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8539622   </w:t>
      </w:r>
    </w:p>
    <w:p>
      <w:pPr>
        <w:tabs>
          <w:tab w:val="left" w:pos="420"/>
        </w:tabs>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综合行政执法大队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8536663</w:t>
      </w:r>
    </w:p>
    <w:p>
      <w:pPr>
        <w:tabs>
          <w:tab w:val="left" w:pos="420"/>
        </w:tabs>
        <w:adjustRightInd w:val="0"/>
        <w:snapToGrid w:val="0"/>
        <w:spacing w:line="440" w:lineRule="exact"/>
        <w:ind w:firstLine="640" w:firstLineChars="200"/>
        <w:rPr>
          <w:rFonts w:ascii="仿宋_GB2312" w:hAnsi="仿宋_GB2312" w:eastAsia="仿宋_GB2312" w:cs="仿宋_GB2312"/>
          <w:sz w:val="32"/>
          <w:szCs w:val="32"/>
          <w:highlight w:val="none"/>
        </w:rPr>
      </w:pPr>
    </w:p>
    <w:p>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：城镇燃气执法处罚情况统计</w:t>
      </w:r>
      <w:r>
        <w:rPr>
          <w:rFonts w:hint="eastAsia" w:ascii="仿宋_GB2312" w:hAnsi="仿宋_GB2312" w:eastAsia="仿宋_GB2312" w:cs="仿宋_GB2312"/>
          <w:sz w:val="32"/>
          <w:szCs w:val="32"/>
          <w:highlight w:val="none"/>
          <w:lang w:eastAsia="zh-CN"/>
        </w:rPr>
        <w:t>表</w:t>
      </w:r>
    </w:p>
    <w:p>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城镇燃气安全隐患排查整治清单</w:t>
      </w:r>
    </w:p>
    <w:p>
      <w:pPr>
        <w:pStyle w:val="2"/>
        <w:rPr>
          <w:rFonts w:hint="eastAsia" w:ascii="仿宋_GB2312" w:hAnsi="仿宋_GB2312" w:eastAsia="仿宋_GB2312" w:cs="仿宋_GB2312"/>
          <w:sz w:val="32"/>
          <w:szCs w:val="32"/>
          <w:highlight w:val="none"/>
          <w:lang w:eastAsia="zh-CN"/>
        </w:rPr>
      </w:pPr>
    </w:p>
    <w:p>
      <w:pPr>
        <w:pStyle w:val="3"/>
        <w:rPr>
          <w:rFonts w:hint="eastAsia" w:ascii="仿宋_GB2312" w:hAnsi="仿宋_GB2312" w:eastAsia="仿宋_GB2312" w:cs="仿宋_GB2312"/>
          <w:sz w:val="32"/>
          <w:szCs w:val="32"/>
          <w:highlight w:val="none"/>
          <w:lang w:eastAsia="zh-CN"/>
        </w:rPr>
      </w:pPr>
    </w:p>
    <w:p>
      <w:pPr>
        <w:pStyle w:val="2"/>
        <w:rPr>
          <w:rFonts w:hint="eastAsia" w:ascii="仿宋_GB2312" w:hAnsi="仿宋_GB2312" w:eastAsia="仿宋_GB2312" w:cs="仿宋_GB2312"/>
          <w:sz w:val="32"/>
          <w:szCs w:val="32"/>
          <w:highlight w:val="none"/>
          <w:lang w:eastAsia="zh-CN"/>
        </w:rPr>
      </w:pPr>
    </w:p>
    <w:p>
      <w:pPr>
        <w:pStyle w:val="3"/>
        <w:rPr>
          <w:rFonts w:hint="eastAsia" w:ascii="仿宋_GB2312" w:hAnsi="仿宋_GB2312" w:eastAsia="仿宋_GB2312" w:cs="仿宋_GB2312"/>
          <w:sz w:val="32"/>
          <w:szCs w:val="32"/>
          <w:highlight w:val="none"/>
          <w:lang w:eastAsia="zh-CN"/>
        </w:rPr>
      </w:pPr>
    </w:p>
    <w:p>
      <w:pPr>
        <w:pStyle w:val="2"/>
        <w:rPr>
          <w:rFonts w:hint="eastAsia" w:ascii="仿宋_GB2312" w:hAnsi="仿宋_GB2312" w:eastAsia="仿宋_GB2312" w:cs="仿宋_GB2312"/>
          <w:sz w:val="32"/>
          <w:szCs w:val="32"/>
          <w:highlight w:val="none"/>
          <w:lang w:eastAsia="zh-CN"/>
        </w:rPr>
      </w:pPr>
    </w:p>
    <w:p>
      <w:pPr>
        <w:pStyle w:val="3"/>
        <w:rPr>
          <w:rFonts w:hint="eastAsia" w:ascii="仿宋_GB2312" w:hAnsi="仿宋_GB2312" w:eastAsia="仿宋_GB2312" w:cs="仿宋_GB2312"/>
          <w:sz w:val="32"/>
          <w:szCs w:val="32"/>
          <w:highlight w:val="none"/>
          <w:lang w:eastAsia="zh-CN"/>
        </w:rPr>
      </w:pPr>
    </w:p>
    <w:p>
      <w:pPr>
        <w:pStyle w:val="2"/>
        <w:rPr>
          <w:rFonts w:hint="eastAsia" w:ascii="仿宋_GB2312" w:hAnsi="仿宋_GB2312" w:eastAsia="仿宋_GB2312" w:cs="仿宋_GB2312"/>
          <w:sz w:val="32"/>
          <w:szCs w:val="32"/>
          <w:highlight w:val="none"/>
          <w:lang w:eastAsia="zh-CN"/>
        </w:rPr>
      </w:pPr>
    </w:p>
    <w:p>
      <w:pPr>
        <w:pStyle w:val="2"/>
        <w:rPr>
          <w:rFonts w:hint="eastAsia" w:ascii="仿宋_GB2312" w:hAnsi="仿宋_GB2312" w:eastAsia="仿宋_GB2312" w:cs="仿宋_GB2312"/>
          <w:sz w:val="32"/>
          <w:szCs w:val="32"/>
          <w:highlight w:val="none"/>
          <w:lang w:eastAsia="zh-CN"/>
        </w:rPr>
      </w:pPr>
    </w:p>
    <w:p>
      <w:pPr>
        <w:pStyle w:val="3"/>
        <w:ind w:left="0" w:leftChars="0" w:firstLine="0" w:firstLineChars="0"/>
        <w:rPr>
          <w:rFonts w:hint="eastAsia" w:eastAsia="仿宋_GB231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lang w:eastAsia="zh-CN"/>
        </w:rPr>
        <w:t>抄送：黄山市市场监督管理局</w:t>
      </w:r>
    </w:p>
    <w:p>
      <w:pPr>
        <w:widowControl/>
        <w:adjustRightInd w:val="0"/>
        <w:snapToGrid w:val="0"/>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ind w:firstLine="361" w:firstLineChars="100"/>
        <w:rPr>
          <w:rFonts w:hint="eastAsia" w:ascii="仿宋" w:hAnsi="仿宋" w:eastAsia="仿宋" w:cs="仿宋"/>
          <w:b/>
          <w:bCs/>
          <w:color w:val="auto"/>
          <w:sz w:val="36"/>
          <w:szCs w:val="36"/>
          <w:highlight w:val="none"/>
        </w:rPr>
      </w:pPr>
    </w:p>
    <w:p>
      <w:pPr>
        <w:widowControl/>
        <w:adjustRightInd w:val="0"/>
        <w:snapToGrid w:val="0"/>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 xml:space="preserve">城镇燃气执法处罚情况统计表 </w:t>
      </w:r>
    </w:p>
    <w:p>
      <w:pPr>
        <w:ind w:firstLine="640" w:firstLineChars="200"/>
        <w:rPr>
          <w:rFonts w:hint="eastAsia" w:ascii="仿宋" w:hAnsi="仿宋" w:eastAsia="仿宋" w:cs="仿宋"/>
          <w:color w:val="auto"/>
          <w:sz w:val="32"/>
          <w:szCs w:val="32"/>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lang w:eastAsia="zh-CN"/>
              </w:rPr>
            </w:pPr>
            <w:r>
              <w:rPr>
                <w:rFonts w:hint="eastAsia" w:ascii="黑体" w:hAnsi="黑体" w:eastAsia="黑体" w:cs="黑体"/>
                <w:sz w:val="16"/>
                <w:szCs w:val="16"/>
                <w:highlight w:val="none"/>
                <w:vertAlign w:val="baseline"/>
                <w:lang w:eastAsia="zh-CN"/>
              </w:rPr>
              <w:t>序号</w:t>
            </w:r>
          </w:p>
        </w:tc>
        <w:tc>
          <w:tcPr>
            <w:tcW w:w="1417"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lang w:eastAsia="zh-CN"/>
              </w:rPr>
            </w:pPr>
            <w:r>
              <w:rPr>
                <w:rFonts w:hint="eastAsia" w:ascii="黑体" w:hAnsi="黑体" w:eastAsia="黑体" w:cs="黑体"/>
                <w:sz w:val="16"/>
                <w:szCs w:val="16"/>
                <w:highlight w:val="none"/>
                <w:vertAlign w:val="baseline"/>
                <w:lang w:eastAsia="zh-CN"/>
              </w:rPr>
              <w:t>地区</w:t>
            </w:r>
          </w:p>
        </w:tc>
        <w:tc>
          <w:tcPr>
            <w:tcW w:w="1417"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lang w:eastAsia="zh-CN"/>
              </w:rPr>
            </w:pPr>
            <w:r>
              <w:rPr>
                <w:rFonts w:hint="eastAsia" w:ascii="黑体" w:hAnsi="黑体" w:eastAsia="黑体" w:cs="黑体"/>
                <w:sz w:val="16"/>
                <w:szCs w:val="16"/>
                <w:highlight w:val="none"/>
                <w:vertAlign w:val="baseline"/>
                <w:lang w:eastAsia="zh-CN"/>
              </w:rPr>
              <w:t>执法次数人（次）</w:t>
            </w:r>
          </w:p>
        </w:tc>
        <w:tc>
          <w:tcPr>
            <w:tcW w:w="1417"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查处生产销售不合格燃气具及配件处罚（起）</w:t>
            </w:r>
          </w:p>
        </w:tc>
        <w:tc>
          <w:tcPr>
            <w:tcW w:w="1417"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查处充装非自有气瓶、不合格气瓶等处罚（起）</w:t>
            </w:r>
          </w:p>
        </w:tc>
        <w:tc>
          <w:tcPr>
            <w:tcW w:w="1417"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查处“黑窝点”处罚（起）</w:t>
            </w:r>
          </w:p>
        </w:tc>
        <w:tc>
          <w:tcPr>
            <w:tcW w:w="1418"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查处“黑瓶（只）</w:t>
            </w:r>
          </w:p>
        </w:tc>
        <w:tc>
          <w:tcPr>
            <w:tcW w:w="1418"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查处“黑瓶（只）</w:t>
            </w:r>
          </w:p>
        </w:tc>
        <w:tc>
          <w:tcPr>
            <w:tcW w:w="1418"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查处“黑瓶（只）</w:t>
            </w:r>
          </w:p>
        </w:tc>
        <w:tc>
          <w:tcPr>
            <w:tcW w:w="1418" w:type="dxa"/>
            <w:vAlign w:val="center"/>
          </w:tcPr>
          <w:p>
            <w:pPr>
              <w:widowControl/>
              <w:adjustRightInd w:val="0"/>
              <w:snapToGrid w:val="0"/>
              <w:spacing w:line="560" w:lineRule="exact"/>
              <w:jc w:val="center"/>
              <w:rPr>
                <w:rFonts w:hint="eastAsia" w:ascii="黑体" w:hAnsi="黑体" w:eastAsia="黑体" w:cs="黑体"/>
                <w:sz w:val="16"/>
                <w:szCs w:val="16"/>
                <w:highlight w:val="none"/>
                <w:vertAlign w:val="baseline"/>
              </w:rPr>
            </w:pPr>
            <w:r>
              <w:rPr>
                <w:rFonts w:hint="eastAsia" w:ascii="黑体" w:hAnsi="黑体" w:eastAsia="黑体" w:cs="黑体"/>
                <w:sz w:val="16"/>
                <w:szCs w:val="16"/>
                <w:highlight w:val="none"/>
                <w:vertAlign w:val="baseline"/>
              </w:rPr>
              <w:t>吊销燃气充装许可证企业（家）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7"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c>
          <w:tcPr>
            <w:tcW w:w="1418" w:type="dxa"/>
          </w:tcPr>
          <w:p>
            <w:pPr>
              <w:widowControl/>
              <w:adjustRightInd w:val="0"/>
              <w:snapToGrid w:val="0"/>
              <w:spacing w:line="560" w:lineRule="exact"/>
              <w:rPr>
                <w:rFonts w:hint="eastAsia" w:ascii="黑体" w:hAnsi="黑体" w:eastAsia="黑体" w:cs="黑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tcPr>
          <w:p>
            <w:pPr>
              <w:pStyle w:val="7"/>
              <w:keepNext w:val="0"/>
              <w:keepLines w:val="0"/>
              <w:widowControl/>
              <w:suppressLineNumbers w:val="0"/>
              <w:rPr>
                <w:rFonts w:hint="eastAsia" w:ascii="黑体" w:hAnsi="黑体" w:eastAsia="黑体" w:cs="黑体"/>
                <w:sz w:val="32"/>
                <w:szCs w:val="32"/>
                <w:highlight w:val="none"/>
                <w:vertAlign w:val="baseline"/>
              </w:rPr>
            </w:pPr>
            <w:r>
              <w:rPr>
                <w:rFonts w:hint="eastAsia" w:ascii="宋体" w:hAnsi="宋体" w:eastAsia="宋体" w:cs="宋体"/>
                <w:color w:val="000000"/>
                <w:sz w:val="16"/>
                <w:szCs w:val="16"/>
              </w:rPr>
              <w:t>备注：本表统计范围为自 4月 1日起的执法处罚情况。</w:t>
            </w:r>
          </w:p>
        </w:tc>
      </w:tr>
    </w:tbl>
    <w:p>
      <w:pPr>
        <w:widowControl/>
        <w:adjustRightInd w:val="0"/>
        <w:snapToGrid w:val="0"/>
        <w:spacing w:line="560" w:lineRule="exact"/>
        <w:rPr>
          <w:rFonts w:hint="eastAsia" w:ascii="黑体" w:hAnsi="黑体" w:eastAsia="黑体" w:cs="黑体"/>
          <w:sz w:val="32"/>
          <w:szCs w:val="32"/>
          <w:highlight w:val="none"/>
        </w:rPr>
      </w:pPr>
    </w:p>
    <w:p>
      <w:pPr>
        <w:widowControl/>
        <w:adjustRightInd w:val="0"/>
        <w:snapToGrid w:val="0"/>
        <w:spacing w:line="560" w:lineRule="exact"/>
        <w:rPr>
          <w:rFonts w:hint="eastAsia" w:ascii="黑体" w:hAnsi="黑体" w:eastAsia="黑体" w:cs="黑体"/>
          <w:sz w:val="32"/>
          <w:szCs w:val="32"/>
          <w:highlight w:val="none"/>
        </w:rPr>
      </w:pPr>
    </w:p>
    <w:p>
      <w:pPr>
        <w:widowControl/>
        <w:adjustRightInd w:val="0"/>
        <w:snapToGrid w:val="0"/>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adjustRightInd w:val="0"/>
        <w:snapToGrid w:val="0"/>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城镇燃气安全隐患排查整治清单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20"/>
        <w:gridCol w:w="1410"/>
        <w:gridCol w:w="1455"/>
        <w:gridCol w:w="1805"/>
        <w:gridCol w:w="1288"/>
        <w:gridCol w:w="1289"/>
        <w:gridCol w:w="1483"/>
        <w:gridCol w:w="1095"/>
        <w:gridCol w:w="159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序号</w:t>
            </w:r>
          </w:p>
        </w:tc>
        <w:tc>
          <w:tcPr>
            <w:tcW w:w="1020"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地区</w:t>
            </w:r>
          </w:p>
        </w:tc>
        <w:tc>
          <w:tcPr>
            <w:tcW w:w="1410"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排查时间</w:t>
            </w:r>
          </w:p>
        </w:tc>
        <w:tc>
          <w:tcPr>
            <w:tcW w:w="1455"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检查企业或个体户</w:t>
            </w:r>
          </w:p>
        </w:tc>
        <w:tc>
          <w:tcPr>
            <w:tcW w:w="1805"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隐患内容描述</w:t>
            </w:r>
          </w:p>
        </w:tc>
        <w:tc>
          <w:tcPr>
            <w:tcW w:w="1288"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整改措施</w:t>
            </w:r>
          </w:p>
        </w:tc>
        <w:tc>
          <w:tcPr>
            <w:tcW w:w="1289"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整改时限</w:t>
            </w:r>
          </w:p>
        </w:tc>
        <w:tc>
          <w:tcPr>
            <w:tcW w:w="1483"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责任部门</w:t>
            </w:r>
          </w:p>
        </w:tc>
        <w:tc>
          <w:tcPr>
            <w:tcW w:w="1095"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是否已落实整改（是</w:t>
            </w:r>
            <w:r>
              <w:rPr>
                <w:rFonts w:hint="eastAsia"/>
                <w:highlight w:val="none"/>
                <w:vertAlign w:val="baseline"/>
                <w:lang w:val="en-US" w:eastAsia="zh-CN"/>
              </w:rPr>
              <w:t>/否</w:t>
            </w:r>
            <w:r>
              <w:rPr>
                <w:rFonts w:hint="eastAsia"/>
                <w:highlight w:val="none"/>
                <w:vertAlign w:val="baseline"/>
                <w:lang w:eastAsia="zh-CN"/>
              </w:rPr>
              <w:t>）</w:t>
            </w:r>
          </w:p>
        </w:tc>
        <w:tc>
          <w:tcPr>
            <w:tcW w:w="1590"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整改情况（后附整改照片）</w:t>
            </w:r>
          </w:p>
        </w:tc>
        <w:tc>
          <w:tcPr>
            <w:tcW w:w="988" w:type="dxa"/>
            <w:vAlign w:val="center"/>
          </w:tcPr>
          <w:p>
            <w:pPr>
              <w:pStyle w:val="2"/>
              <w:spacing w:line="560" w:lineRule="exact"/>
              <w:jc w:val="center"/>
              <w:rPr>
                <w:rFonts w:hint="eastAsia" w:eastAsia="宋体"/>
                <w:highlight w:val="none"/>
                <w:vertAlign w:val="baseline"/>
                <w:lang w:eastAsia="zh-CN"/>
              </w:rPr>
            </w:pPr>
            <w:r>
              <w:rPr>
                <w:rFonts w:hint="eastAsia"/>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
              <w:spacing w:line="560" w:lineRule="exact"/>
              <w:rPr>
                <w:rFonts w:hint="eastAsia"/>
                <w:highlight w:val="none"/>
                <w:vertAlign w:val="baseline"/>
              </w:rPr>
            </w:pPr>
          </w:p>
        </w:tc>
        <w:tc>
          <w:tcPr>
            <w:tcW w:w="1020" w:type="dxa"/>
          </w:tcPr>
          <w:p>
            <w:pPr>
              <w:pStyle w:val="2"/>
              <w:spacing w:line="560" w:lineRule="exact"/>
              <w:rPr>
                <w:rFonts w:hint="eastAsia"/>
                <w:highlight w:val="none"/>
                <w:vertAlign w:val="baseline"/>
              </w:rPr>
            </w:pPr>
          </w:p>
        </w:tc>
        <w:tc>
          <w:tcPr>
            <w:tcW w:w="1410" w:type="dxa"/>
          </w:tcPr>
          <w:p>
            <w:pPr>
              <w:pStyle w:val="2"/>
              <w:spacing w:line="560" w:lineRule="exact"/>
              <w:rPr>
                <w:rFonts w:hint="eastAsia"/>
                <w:highlight w:val="none"/>
                <w:vertAlign w:val="baseline"/>
              </w:rPr>
            </w:pPr>
          </w:p>
        </w:tc>
        <w:tc>
          <w:tcPr>
            <w:tcW w:w="1455" w:type="dxa"/>
          </w:tcPr>
          <w:p>
            <w:pPr>
              <w:pStyle w:val="2"/>
              <w:spacing w:line="560" w:lineRule="exact"/>
              <w:rPr>
                <w:rFonts w:hint="eastAsia"/>
                <w:highlight w:val="none"/>
                <w:vertAlign w:val="baseline"/>
              </w:rPr>
            </w:pPr>
          </w:p>
        </w:tc>
        <w:tc>
          <w:tcPr>
            <w:tcW w:w="1805" w:type="dxa"/>
          </w:tcPr>
          <w:p>
            <w:pPr>
              <w:pStyle w:val="2"/>
              <w:spacing w:line="560" w:lineRule="exact"/>
              <w:rPr>
                <w:rFonts w:hint="eastAsia"/>
                <w:highlight w:val="none"/>
                <w:vertAlign w:val="baseline"/>
              </w:rPr>
            </w:pPr>
          </w:p>
        </w:tc>
        <w:tc>
          <w:tcPr>
            <w:tcW w:w="1288" w:type="dxa"/>
          </w:tcPr>
          <w:p>
            <w:pPr>
              <w:pStyle w:val="2"/>
              <w:spacing w:line="560" w:lineRule="exact"/>
              <w:rPr>
                <w:rFonts w:hint="eastAsia"/>
                <w:highlight w:val="none"/>
                <w:vertAlign w:val="baseline"/>
              </w:rPr>
            </w:pPr>
          </w:p>
        </w:tc>
        <w:tc>
          <w:tcPr>
            <w:tcW w:w="1289" w:type="dxa"/>
          </w:tcPr>
          <w:p>
            <w:pPr>
              <w:pStyle w:val="2"/>
              <w:spacing w:line="560" w:lineRule="exact"/>
              <w:rPr>
                <w:rFonts w:hint="eastAsia"/>
                <w:highlight w:val="none"/>
                <w:vertAlign w:val="baseline"/>
              </w:rPr>
            </w:pPr>
          </w:p>
        </w:tc>
        <w:tc>
          <w:tcPr>
            <w:tcW w:w="1483" w:type="dxa"/>
          </w:tcPr>
          <w:p>
            <w:pPr>
              <w:pStyle w:val="2"/>
              <w:spacing w:line="560" w:lineRule="exact"/>
              <w:rPr>
                <w:rFonts w:hint="eastAsia"/>
                <w:highlight w:val="none"/>
                <w:vertAlign w:val="baseline"/>
              </w:rPr>
            </w:pPr>
          </w:p>
        </w:tc>
        <w:tc>
          <w:tcPr>
            <w:tcW w:w="1095" w:type="dxa"/>
          </w:tcPr>
          <w:p>
            <w:pPr>
              <w:pStyle w:val="2"/>
              <w:spacing w:line="560" w:lineRule="exact"/>
              <w:rPr>
                <w:rFonts w:hint="eastAsia"/>
                <w:highlight w:val="none"/>
                <w:vertAlign w:val="baseline"/>
              </w:rPr>
            </w:pPr>
          </w:p>
        </w:tc>
        <w:tc>
          <w:tcPr>
            <w:tcW w:w="1590" w:type="dxa"/>
          </w:tcPr>
          <w:p>
            <w:pPr>
              <w:pStyle w:val="2"/>
              <w:spacing w:line="560" w:lineRule="exact"/>
              <w:rPr>
                <w:rFonts w:hint="eastAsia"/>
                <w:highlight w:val="none"/>
                <w:vertAlign w:val="baseline"/>
              </w:rPr>
            </w:pPr>
          </w:p>
        </w:tc>
        <w:tc>
          <w:tcPr>
            <w:tcW w:w="988" w:type="dxa"/>
          </w:tcPr>
          <w:p>
            <w:pPr>
              <w:pStyle w:val="2"/>
              <w:spacing w:line="560" w:lineRule="exact"/>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
              <w:spacing w:line="560" w:lineRule="exact"/>
              <w:rPr>
                <w:rFonts w:hint="eastAsia"/>
                <w:highlight w:val="none"/>
                <w:vertAlign w:val="baseline"/>
              </w:rPr>
            </w:pPr>
          </w:p>
        </w:tc>
        <w:tc>
          <w:tcPr>
            <w:tcW w:w="1020" w:type="dxa"/>
          </w:tcPr>
          <w:p>
            <w:pPr>
              <w:pStyle w:val="2"/>
              <w:spacing w:line="560" w:lineRule="exact"/>
              <w:rPr>
                <w:rFonts w:hint="eastAsia"/>
                <w:highlight w:val="none"/>
                <w:vertAlign w:val="baseline"/>
              </w:rPr>
            </w:pPr>
          </w:p>
        </w:tc>
        <w:tc>
          <w:tcPr>
            <w:tcW w:w="1410" w:type="dxa"/>
          </w:tcPr>
          <w:p>
            <w:pPr>
              <w:pStyle w:val="2"/>
              <w:spacing w:line="560" w:lineRule="exact"/>
              <w:rPr>
                <w:rFonts w:hint="eastAsia"/>
                <w:highlight w:val="none"/>
                <w:vertAlign w:val="baseline"/>
              </w:rPr>
            </w:pPr>
          </w:p>
        </w:tc>
        <w:tc>
          <w:tcPr>
            <w:tcW w:w="1455" w:type="dxa"/>
          </w:tcPr>
          <w:p>
            <w:pPr>
              <w:pStyle w:val="2"/>
              <w:spacing w:line="560" w:lineRule="exact"/>
              <w:rPr>
                <w:rFonts w:hint="eastAsia"/>
                <w:highlight w:val="none"/>
                <w:vertAlign w:val="baseline"/>
              </w:rPr>
            </w:pPr>
          </w:p>
        </w:tc>
        <w:tc>
          <w:tcPr>
            <w:tcW w:w="1805" w:type="dxa"/>
          </w:tcPr>
          <w:p>
            <w:pPr>
              <w:pStyle w:val="2"/>
              <w:spacing w:line="560" w:lineRule="exact"/>
              <w:rPr>
                <w:rFonts w:hint="eastAsia"/>
                <w:highlight w:val="none"/>
                <w:vertAlign w:val="baseline"/>
              </w:rPr>
            </w:pPr>
          </w:p>
        </w:tc>
        <w:tc>
          <w:tcPr>
            <w:tcW w:w="1288" w:type="dxa"/>
          </w:tcPr>
          <w:p>
            <w:pPr>
              <w:pStyle w:val="2"/>
              <w:spacing w:line="560" w:lineRule="exact"/>
              <w:rPr>
                <w:rFonts w:hint="eastAsia"/>
                <w:highlight w:val="none"/>
                <w:vertAlign w:val="baseline"/>
              </w:rPr>
            </w:pPr>
          </w:p>
        </w:tc>
        <w:tc>
          <w:tcPr>
            <w:tcW w:w="1289" w:type="dxa"/>
          </w:tcPr>
          <w:p>
            <w:pPr>
              <w:pStyle w:val="2"/>
              <w:spacing w:line="560" w:lineRule="exact"/>
              <w:rPr>
                <w:rFonts w:hint="eastAsia"/>
                <w:highlight w:val="none"/>
                <w:vertAlign w:val="baseline"/>
              </w:rPr>
            </w:pPr>
          </w:p>
        </w:tc>
        <w:tc>
          <w:tcPr>
            <w:tcW w:w="1483" w:type="dxa"/>
          </w:tcPr>
          <w:p>
            <w:pPr>
              <w:pStyle w:val="2"/>
              <w:spacing w:line="560" w:lineRule="exact"/>
              <w:rPr>
                <w:rFonts w:hint="eastAsia"/>
                <w:highlight w:val="none"/>
                <w:vertAlign w:val="baseline"/>
              </w:rPr>
            </w:pPr>
          </w:p>
        </w:tc>
        <w:tc>
          <w:tcPr>
            <w:tcW w:w="1095" w:type="dxa"/>
          </w:tcPr>
          <w:p>
            <w:pPr>
              <w:pStyle w:val="2"/>
              <w:spacing w:line="560" w:lineRule="exact"/>
              <w:rPr>
                <w:rFonts w:hint="eastAsia"/>
                <w:highlight w:val="none"/>
                <w:vertAlign w:val="baseline"/>
              </w:rPr>
            </w:pPr>
          </w:p>
        </w:tc>
        <w:tc>
          <w:tcPr>
            <w:tcW w:w="1590" w:type="dxa"/>
          </w:tcPr>
          <w:p>
            <w:pPr>
              <w:pStyle w:val="2"/>
              <w:spacing w:line="560" w:lineRule="exact"/>
              <w:rPr>
                <w:rFonts w:hint="eastAsia"/>
                <w:highlight w:val="none"/>
                <w:vertAlign w:val="baseline"/>
              </w:rPr>
            </w:pPr>
          </w:p>
        </w:tc>
        <w:tc>
          <w:tcPr>
            <w:tcW w:w="988" w:type="dxa"/>
          </w:tcPr>
          <w:p>
            <w:pPr>
              <w:pStyle w:val="2"/>
              <w:spacing w:line="560" w:lineRule="exact"/>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
              <w:spacing w:line="560" w:lineRule="exact"/>
              <w:rPr>
                <w:rFonts w:hint="eastAsia"/>
                <w:highlight w:val="none"/>
                <w:vertAlign w:val="baseline"/>
              </w:rPr>
            </w:pPr>
          </w:p>
        </w:tc>
        <w:tc>
          <w:tcPr>
            <w:tcW w:w="1020" w:type="dxa"/>
          </w:tcPr>
          <w:p>
            <w:pPr>
              <w:pStyle w:val="2"/>
              <w:spacing w:line="560" w:lineRule="exact"/>
              <w:rPr>
                <w:rFonts w:hint="eastAsia"/>
                <w:highlight w:val="none"/>
                <w:vertAlign w:val="baseline"/>
              </w:rPr>
            </w:pPr>
          </w:p>
        </w:tc>
        <w:tc>
          <w:tcPr>
            <w:tcW w:w="1410" w:type="dxa"/>
          </w:tcPr>
          <w:p>
            <w:pPr>
              <w:pStyle w:val="2"/>
              <w:spacing w:line="560" w:lineRule="exact"/>
              <w:rPr>
                <w:rFonts w:hint="eastAsia"/>
                <w:highlight w:val="none"/>
                <w:vertAlign w:val="baseline"/>
              </w:rPr>
            </w:pPr>
          </w:p>
        </w:tc>
        <w:tc>
          <w:tcPr>
            <w:tcW w:w="1455" w:type="dxa"/>
          </w:tcPr>
          <w:p>
            <w:pPr>
              <w:pStyle w:val="2"/>
              <w:spacing w:line="560" w:lineRule="exact"/>
              <w:rPr>
                <w:rFonts w:hint="eastAsia"/>
                <w:highlight w:val="none"/>
                <w:vertAlign w:val="baseline"/>
              </w:rPr>
            </w:pPr>
          </w:p>
        </w:tc>
        <w:tc>
          <w:tcPr>
            <w:tcW w:w="1805" w:type="dxa"/>
          </w:tcPr>
          <w:p>
            <w:pPr>
              <w:pStyle w:val="2"/>
              <w:spacing w:line="560" w:lineRule="exact"/>
              <w:rPr>
                <w:rFonts w:hint="eastAsia"/>
                <w:highlight w:val="none"/>
                <w:vertAlign w:val="baseline"/>
              </w:rPr>
            </w:pPr>
          </w:p>
        </w:tc>
        <w:tc>
          <w:tcPr>
            <w:tcW w:w="1288" w:type="dxa"/>
          </w:tcPr>
          <w:p>
            <w:pPr>
              <w:pStyle w:val="2"/>
              <w:spacing w:line="560" w:lineRule="exact"/>
              <w:rPr>
                <w:rFonts w:hint="eastAsia"/>
                <w:highlight w:val="none"/>
                <w:vertAlign w:val="baseline"/>
              </w:rPr>
            </w:pPr>
          </w:p>
        </w:tc>
        <w:tc>
          <w:tcPr>
            <w:tcW w:w="1289" w:type="dxa"/>
          </w:tcPr>
          <w:p>
            <w:pPr>
              <w:pStyle w:val="2"/>
              <w:spacing w:line="560" w:lineRule="exact"/>
              <w:rPr>
                <w:rFonts w:hint="eastAsia"/>
                <w:highlight w:val="none"/>
                <w:vertAlign w:val="baseline"/>
              </w:rPr>
            </w:pPr>
          </w:p>
        </w:tc>
        <w:tc>
          <w:tcPr>
            <w:tcW w:w="1483" w:type="dxa"/>
          </w:tcPr>
          <w:p>
            <w:pPr>
              <w:pStyle w:val="2"/>
              <w:spacing w:line="560" w:lineRule="exact"/>
              <w:rPr>
                <w:rFonts w:hint="eastAsia"/>
                <w:highlight w:val="none"/>
                <w:vertAlign w:val="baseline"/>
              </w:rPr>
            </w:pPr>
          </w:p>
        </w:tc>
        <w:tc>
          <w:tcPr>
            <w:tcW w:w="1095" w:type="dxa"/>
          </w:tcPr>
          <w:p>
            <w:pPr>
              <w:pStyle w:val="2"/>
              <w:spacing w:line="560" w:lineRule="exact"/>
              <w:rPr>
                <w:rFonts w:hint="eastAsia"/>
                <w:highlight w:val="none"/>
                <w:vertAlign w:val="baseline"/>
              </w:rPr>
            </w:pPr>
          </w:p>
        </w:tc>
        <w:tc>
          <w:tcPr>
            <w:tcW w:w="1590" w:type="dxa"/>
          </w:tcPr>
          <w:p>
            <w:pPr>
              <w:pStyle w:val="2"/>
              <w:spacing w:line="560" w:lineRule="exact"/>
              <w:rPr>
                <w:rFonts w:hint="eastAsia"/>
                <w:highlight w:val="none"/>
                <w:vertAlign w:val="baseline"/>
              </w:rPr>
            </w:pPr>
          </w:p>
        </w:tc>
        <w:tc>
          <w:tcPr>
            <w:tcW w:w="988" w:type="dxa"/>
          </w:tcPr>
          <w:p>
            <w:pPr>
              <w:pStyle w:val="2"/>
              <w:spacing w:line="560" w:lineRule="exact"/>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
              <w:spacing w:line="560" w:lineRule="exact"/>
              <w:rPr>
                <w:rFonts w:hint="eastAsia"/>
                <w:highlight w:val="none"/>
                <w:vertAlign w:val="baseline"/>
              </w:rPr>
            </w:pPr>
          </w:p>
        </w:tc>
        <w:tc>
          <w:tcPr>
            <w:tcW w:w="1020" w:type="dxa"/>
          </w:tcPr>
          <w:p>
            <w:pPr>
              <w:pStyle w:val="2"/>
              <w:spacing w:line="560" w:lineRule="exact"/>
              <w:rPr>
                <w:rFonts w:hint="eastAsia"/>
                <w:highlight w:val="none"/>
                <w:vertAlign w:val="baseline"/>
              </w:rPr>
            </w:pPr>
          </w:p>
        </w:tc>
        <w:tc>
          <w:tcPr>
            <w:tcW w:w="1410" w:type="dxa"/>
          </w:tcPr>
          <w:p>
            <w:pPr>
              <w:pStyle w:val="2"/>
              <w:spacing w:line="560" w:lineRule="exact"/>
              <w:rPr>
                <w:rFonts w:hint="eastAsia"/>
                <w:highlight w:val="none"/>
                <w:vertAlign w:val="baseline"/>
              </w:rPr>
            </w:pPr>
          </w:p>
        </w:tc>
        <w:tc>
          <w:tcPr>
            <w:tcW w:w="1455" w:type="dxa"/>
          </w:tcPr>
          <w:p>
            <w:pPr>
              <w:pStyle w:val="2"/>
              <w:spacing w:line="560" w:lineRule="exact"/>
              <w:rPr>
                <w:rFonts w:hint="eastAsia"/>
                <w:highlight w:val="none"/>
                <w:vertAlign w:val="baseline"/>
              </w:rPr>
            </w:pPr>
          </w:p>
        </w:tc>
        <w:tc>
          <w:tcPr>
            <w:tcW w:w="1805" w:type="dxa"/>
          </w:tcPr>
          <w:p>
            <w:pPr>
              <w:pStyle w:val="2"/>
              <w:spacing w:line="560" w:lineRule="exact"/>
              <w:rPr>
                <w:rFonts w:hint="eastAsia"/>
                <w:highlight w:val="none"/>
                <w:vertAlign w:val="baseline"/>
              </w:rPr>
            </w:pPr>
          </w:p>
        </w:tc>
        <w:tc>
          <w:tcPr>
            <w:tcW w:w="1288" w:type="dxa"/>
          </w:tcPr>
          <w:p>
            <w:pPr>
              <w:pStyle w:val="2"/>
              <w:spacing w:line="560" w:lineRule="exact"/>
              <w:rPr>
                <w:rFonts w:hint="eastAsia"/>
                <w:highlight w:val="none"/>
                <w:vertAlign w:val="baseline"/>
              </w:rPr>
            </w:pPr>
          </w:p>
        </w:tc>
        <w:tc>
          <w:tcPr>
            <w:tcW w:w="1289" w:type="dxa"/>
          </w:tcPr>
          <w:p>
            <w:pPr>
              <w:pStyle w:val="2"/>
              <w:spacing w:line="560" w:lineRule="exact"/>
              <w:rPr>
                <w:rFonts w:hint="eastAsia"/>
                <w:highlight w:val="none"/>
                <w:vertAlign w:val="baseline"/>
              </w:rPr>
            </w:pPr>
          </w:p>
        </w:tc>
        <w:tc>
          <w:tcPr>
            <w:tcW w:w="1483" w:type="dxa"/>
          </w:tcPr>
          <w:p>
            <w:pPr>
              <w:pStyle w:val="2"/>
              <w:spacing w:line="560" w:lineRule="exact"/>
              <w:rPr>
                <w:rFonts w:hint="eastAsia"/>
                <w:highlight w:val="none"/>
                <w:vertAlign w:val="baseline"/>
              </w:rPr>
            </w:pPr>
          </w:p>
        </w:tc>
        <w:tc>
          <w:tcPr>
            <w:tcW w:w="1095" w:type="dxa"/>
          </w:tcPr>
          <w:p>
            <w:pPr>
              <w:pStyle w:val="2"/>
              <w:spacing w:line="560" w:lineRule="exact"/>
              <w:rPr>
                <w:rFonts w:hint="eastAsia"/>
                <w:highlight w:val="none"/>
                <w:vertAlign w:val="baseline"/>
              </w:rPr>
            </w:pPr>
          </w:p>
        </w:tc>
        <w:tc>
          <w:tcPr>
            <w:tcW w:w="1590" w:type="dxa"/>
          </w:tcPr>
          <w:p>
            <w:pPr>
              <w:pStyle w:val="2"/>
              <w:spacing w:line="560" w:lineRule="exact"/>
              <w:rPr>
                <w:rFonts w:hint="eastAsia"/>
                <w:highlight w:val="none"/>
                <w:vertAlign w:val="baseline"/>
              </w:rPr>
            </w:pPr>
          </w:p>
        </w:tc>
        <w:tc>
          <w:tcPr>
            <w:tcW w:w="988" w:type="dxa"/>
          </w:tcPr>
          <w:p>
            <w:pPr>
              <w:pStyle w:val="2"/>
              <w:spacing w:line="560" w:lineRule="exact"/>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
              <w:spacing w:line="560" w:lineRule="exact"/>
              <w:rPr>
                <w:rFonts w:hint="eastAsia"/>
                <w:highlight w:val="none"/>
                <w:vertAlign w:val="baseline"/>
              </w:rPr>
            </w:pPr>
          </w:p>
        </w:tc>
        <w:tc>
          <w:tcPr>
            <w:tcW w:w="1020" w:type="dxa"/>
          </w:tcPr>
          <w:p>
            <w:pPr>
              <w:pStyle w:val="2"/>
              <w:spacing w:line="560" w:lineRule="exact"/>
              <w:rPr>
                <w:rFonts w:hint="eastAsia"/>
                <w:highlight w:val="none"/>
                <w:vertAlign w:val="baseline"/>
              </w:rPr>
            </w:pPr>
          </w:p>
        </w:tc>
        <w:tc>
          <w:tcPr>
            <w:tcW w:w="1410" w:type="dxa"/>
          </w:tcPr>
          <w:p>
            <w:pPr>
              <w:pStyle w:val="2"/>
              <w:spacing w:line="560" w:lineRule="exact"/>
              <w:rPr>
                <w:rFonts w:hint="eastAsia"/>
                <w:highlight w:val="none"/>
                <w:vertAlign w:val="baseline"/>
              </w:rPr>
            </w:pPr>
          </w:p>
        </w:tc>
        <w:tc>
          <w:tcPr>
            <w:tcW w:w="1455" w:type="dxa"/>
          </w:tcPr>
          <w:p>
            <w:pPr>
              <w:pStyle w:val="2"/>
              <w:spacing w:line="560" w:lineRule="exact"/>
              <w:rPr>
                <w:rFonts w:hint="eastAsia"/>
                <w:highlight w:val="none"/>
                <w:vertAlign w:val="baseline"/>
              </w:rPr>
            </w:pPr>
          </w:p>
        </w:tc>
        <w:tc>
          <w:tcPr>
            <w:tcW w:w="1805" w:type="dxa"/>
          </w:tcPr>
          <w:p>
            <w:pPr>
              <w:pStyle w:val="2"/>
              <w:spacing w:line="560" w:lineRule="exact"/>
              <w:rPr>
                <w:rFonts w:hint="eastAsia"/>
                <w:highlight w:val="none"/>
                <w:vertAlign w:val="baseline"/>
              </w:rPr>
            </w:pPr>
          </w:p>
        </w:tc>
        <w:tc>
          <w:tcPr>
            <w:tcW w:w="1288" w:type="dxa"/>
          </w:tcPr>
          <w:p>
            <w:pPr>
              <w:pStyle w:val="2"/>
              <w:spacing w:line="560" w:lineRule="exact"/>
              <w:rPr>
                <w:rFonts w:hint="eastAsia"/>
                <w:highlight w:val="none"/>
                <w:vertAlign w:val="baseline"/>
              </w:rPr>
            </w:pPr>
          </w:p>
        </w:tc>
        <w:tc>
          <w:tcPr>
            <w:tcW w:w="1289" w:type="dxa"/>
          </w:tcPr>
          <w:p>
            <w:pPr>
              <w:pStyle w:val="2"/>
              <w:spacing w:line="560" w:lineRule="exact"/>
              <w:rPr>
                <w:rFonts w:hint="eastAsia"/>
                <w:highlight w:val="none"/>
                <w:vertAlign w:val="baseline"/>
              </w:rPr>
            </w:pPr>
          </w:p>
        </w:tc>
        <w:tc>
          <w:tcPr>
            <w:tcW w:w="1483" w:type="dxa"/>
          </w:tcPr>
          <w:p>
            <w:pPr>
              <w:pStyle w:val="2"/>
              <w:spacing w:line="560" w:lineRule="exact"/>
              <w:rPr>
                <w:rFonts w:hint="eastAsia"/>
                <w:highlight w:val="none"/>
                <w:vertAlign w:val="baseline"/>
              </w:rPr>
            </w:pPr>
          </w:p>
        </w:tc>
        <w:tc>
          <w:tcPr>
            <w:tcW w:w="1095" w:type="dxa"/>
          </w:tcPr>
          <w:p>
            <w:pPr>
              <w:pStyle w:val="2"/>
              <w:spacing w:line="560" w:lineRule="exact"/>
              <w:rPr>
                <w:rFonts w:hint="eastAsia"/>
                <w:highlight w:val="none"/>
                <w:vertAlign w:val="baseline"/>
              </w:rPr>
            </w:pPr>
          </w:p>
        </w:tc>
        <w:tc>
          <w:tcPr>
            <w:tcW w:w="1590" w:type="dxa"/>
          </w:tcPr>
          <w:p>
            <w:pPr>
              <w:pStyle w:val="2"/>
              <w:spacing w:line="560" w:lineRule="exact"/>
              <w:rPr>
                <w:rFonts w:hint="eastAsia"/>
                <w:highlight w:val="none"/>
                <w:vertAlign w:val="baseline"/>
              </w:rPr>
            </w:pPr>
          </w:p>
        </w:tc>
        <w:tc>
          <w:tcPr>
            <w:tcW w:w="988" w:type="dxa"/>
          </w:tcPr>
          <w:p>
            <w:pPr>
              <w:pStyle w:val="2"/>
              <w:spacing w:line="560" w:lineRule="exact"/>
              <w:rPr>
                <w:rFonts w:hint="eastAsia"/>
                <w:highlight w:val="none"/>
                <w:vertAlign w:val="baseline"/>
              </w:rPr>
            </w:pPr>
          </w:p>
        </w:tc>
      </w:tr>
    </w:tbl>
    <w:p>
      <w:pPr>
        <w:spacing w:line="520" w:lineRule="exact"/>
        <w:rPr>
          <w:highlight w:val="none"/>
        </w:rPr>
      </w:pPr>
      <w:r>
        <w:rPr>
          <w:rFonts w:hint="eastAsia"/>
          <w:highlight w:val="none"/>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B9510D-B8D9-4C85-AB37-F8B227224F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FBDE3C7-14CC-429F-A387-2B0F7813AE7C}"/>
  </w:font>
  <w:font w:name="仿宋_GB2312">
    <w:panose1 w:val="02010609030101010101"/>
    <w:charset w:val="86"/>
    <w:family w:val="modern"/>
    <w:pitch w:val="default"/>
    <w:sig w:usb0="00000001" w:usb1="080E0000" w:usb2="00000000" w:usb3="00000000" w:csb0="00040000" w:csb1="00000000"/>
    <w:embedRegular r:id="rId3" w:fontKey="{62E7C0B7-F317-4736-BA1B-EFBCE70431D6}"/>
  </w:font>
  <w:font w:name="楷体_GB2312">
    <w:panose1 w:val="02010609030101010101"/>
    <w:charset w:val="86"/>
    <w:family w:val="modern"/>
    <w:pitch w:val="default"/>
    <w:sig w:usb0="00000001" w:usb1="080E0000" w:usb2="00000000" w:usb3="00000000" w:csb0="00040000" w:csb1="00000000"/>
    <w:embedRegular r:id="rId4" w:fontKey="{6A65DFDE-A6B6-4111-96FA-3F7B00EB77EE}"/>
  </w:font>
  <w:font w:name="华文仿宋">
    <w:altName w:val="仿宋"/>
    <w:panose1 w:val="02010600040101010101"/>
    <w:charset w:val="86"/>
    <w:family w:val="auto"/>
    <w:pitch w:val="default"/>
    <w:sig w:usb0="00000000" w:usb1="00000000" w:usb2="00000000" w:usb3="00000000" w:csb0="0004009F" w:csb1="DFD70000"/>
    <w:embedRegular r:id="rId5" w:fontKey="{50F87AC2-65C3-4A56-A551-528AAA26438A}"/>
  </w:font>
  <w:font w:name="仿宋">
    <w:panose1 w:val="02010609060101010101"/>
    <w:charset w:val="86"/>
    <w:family w:val="auto"/>
    <w:pitch w:val="default"/>
    <w:sig w:usb0="800002BF" w:usb1="38CF7CFA" w:usb2="00000016" w:usb3="00000000" w:csb0="00040001" w:csb1="00000000"/>
    <w:embedRegular r:id="rId6" w:fontKey="{E3B714DB-395A-43AD-831B-9633AF824E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ZGU0YzM1OTFlMzA2MzFjNWM0ZTIwNGYzODgzNjcifQ=="/>
  </w:docVars>
  <w:rsids>
    <w:rsidRoot w:val="005A2F4E"/>
    <w:rsid w:val="002355C2"/>
    <w:rsid w:val="003F0809"/>
    <w:rsid w:val="004B2E34"/>
    <w:rsid w:val="004E4F65"/>
    <w:rsid w:val="00520F6E"/>
    <w:rsid w:val="005A2F4E"/>
    <w:rsid w:val="005D5593"/>
    <w:rsid w:val="006A08ED"/>
    <w:rsid w:val="007B030C"/>
    <w:rsid w:val="00806478"/>
    <w:rsid w:val="008A171D"/>
    <w:rsid w:val="00D937F4"/>
    <w:rsid w:val="00F357FB"/>
    <w:rsid w:val="01466C62"/>
    <w:rsid w:val="040A2CF3"/>
    <w:rsid w:val="04F8239B"/>
    <w:rsid w:val="0B636FE4"/>
    <w:rsid w:val="0D996408"/>
    <w:rsid w:val="1229667E"/>
    <w:rsid w:val="13F4159B"/>
    <w:rsid w:val="177D0DED"/>
    <w:rsid w:val="18E2581E"/>
    <w:rsid w:val="1A935718"/>
    <w:rsid w:val="1F49071C"/>
    <w:rsid w:val="28CD0C7B"/>
    <w:rsid w:val="29454F01"/>
    <w:rsid w:val="307C4CC4"/>
    <w:rsid w:val="34B22FF0"/>
    <w:rsid w:val="38FC2FFD"/>
    <w:rsid w:val="391E4825"/>
    <w:rsid w:val="39B463CC"/>
    <w:rsid w:val="3ED03060"/>
    <w:rsid w:val="3FBF0840"/>
    <w:rsid w:val="4CA97A49"/>
    <w:rsid w:val="4D527C31"/>
    <w:rsid w:val="51487279"/>
    <w:rsid w:val="55931A27"/>
    <w:rsid w:val="59C503C4"/>
    <w:rsid w:val="5A3F355D"/>
    <w:rsid w:val="5B6F5424"/>
    <w:rsid w:val="5F8040E9"/>
    <w:rsid w:val="61F16863"/>
    <w:rsid w:val="62461BE7"/>
    <w:rsid w:val="64CF1F3C"/>
    <w:rsid w:val="64E06F3F"/>
    <w:rsid w:val="6CFD6FF4"/>
    <w:rsid w:val="72922F89"/>
    <w:rsid w:val="75EB7849"/>
    <w:rsid w:val="763B69FC"/>
    <w:rsid w:val="7C211C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2"/>
    <w:autoRedefine/>
    <w:unhideWhenUsed/>
    <w:qFormat/>
    <w:uiPriority w:val="99"/>
    <w:pPr>
      <w:spacing w:after="140" w:line="276" w:lineRule="auto"/>
    </w:pPr>
  </w:style>
  <w:style w:type="paragraph" w:styleId="3">
    <w:name w:val="Body Text First Indent"/>
    <w:basedOn w:val="2"/>
    <w:next w:val="2"/>
    <w:autoRedefine/>
    <w:qFormat/>
    <w:uiPriority w:val="0"/>
    <w:pPr>
      <w:spacing w:after="120"/>
      <w:ind w:firstLine="720"/>
    </w:pPr>
    <w:rPr>
      <w:szCs w:val="24"/>
    </w:r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link w:val="14"/>
    <w:semiHidden/>
    <w:unhideWhenUsed/>
    <w:qFormat/>
    <w:uiPriority w:val="99"/>
    <w:pPr>
      <w:ind w:firstLine="420" w:firstLineChars="200"/>
    </w:pPr>
  </w:style>
  <w:style w:type="table" w:styleId="10">
    <w:name w:val="Table Grid"/>
    <w:basedOn w:val="9"/>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 Char"/>
    <w:basedOn w:val="11"/>
    <w:link w:val="2"/>
    <w:autoRedefine/>
    <w:qFormat/>
    <w:uiPriority w:val="99"/>
    <w:rPr>
      <w:rFonts w:ascii="Calibri" w:hAnsi="Calibri" w:eastAsia="宋体" w:cs="Times New Roman"/>
    </w:rPr>
  </w:style>
  <w:style w:type="character" w:customStyle="1" w:styleId="13">
    <w:name w:val="正文文本缩进 Char"/>
    <w:basedOn w:val="11"/>
    <w:link w:val="4"/>
    <w:autoRedefine/>
    <w:semiHidden/>
    <w:qFormat/>
    <w:uiPriority w:val="99"/>
    <w:rPr>
      <w:rFonts w:ascii="Calibri" w:hAnsi="Calibri" w:eastAsia="宋体" w:cs="Times New Roman"/>
    </w:rPr>
  </w:style>
  <w:style w:type="character" w:customStyle="1" w:styleId="14">
    <w:name w:val="正文首行缩进 2 Char"/>
    <w:basedOn w:val="13"/>
    <w:link w:val="8"/>
    <w:autoRedefine/>
    <w:semiHidden/>
    <w:qFormat/>
    <w:uiPriority w:val="99"/>
  </w:style>
  <w:style w:type="character" w:customStyle="1" w:styleId="15">
    <w:name w:val="页眉 Char"/>
    <w:basedOn w:val="11"/>
    <w:link w:val="6"/>
    <w:autoRedefine/>
    <w:semiHidden/>
    <w:qFormat/>
    <w:uiPriority w:val="99"/>
    <w:rPr>
      <w:rFonts w:ascii="Calibri" w:hAnsi="Calibri" w:eastAsia="宋体" w:cs="Times New Roman"/>
      <w:sz w:val="18"/>
      <w:szCs w:val="18"/>
    </w:rPr>
  </w:style>
  <w:style w:type="character" w:customStyle="1" w:styleId="16">
    <w:name w:val="页脚 Char"/>
    <w:basedOn w:val="11"/>
    <w:link w:val="5"/>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7971</Words>
  <Characters>8045</Characters>
  <Lines>69</Lines>
  <Paragraphs>19</Paragraphs>
  <TotalTime>10</TotalTime>
  <ScaleCrop>false</ScaleCrop>
  <LinksUpToDate>false</LinksUpToDate>
  <CharactersWithSpaces>8101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2023-08-21T01:50:00Z</dcterms:created>
  <dc:creator>admin</dc:creator>
  <cp:lastModifiedBy>v</cp:lastModifiedBy>
  <cp:lastPrinted>2023-09-18T00:38:00Z</cp:lastPrinted>
  <dcterms:modified xsi:type="dcterms:W3CDTF">2024-06-12T08:40:59Z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E8907C899F5B4F738636FE9DB2B93B12_13</vt:lpwstr>
  </property>
</Properties>
</file>