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0"/>
        <w:jc w:val="center"/>
        <w:rPr>
          <w:rFonts w:hint="eastAsia" w:ascii="宋体" w:hAnsi="宋体" w:eastAsia="宋体" w:cs="宋体"/>
          <w:i w:val="0"/>
          <w:iCs w:val="0"/>
          <w:caps w:val="0"/>
          <w:color w:val="auto"/>
          <w:spacing w:val="0"/>
          <w:sz w:val="28"/>
          <w:szCs w:val="28"/>
        </w:rPr>
      </w:pPr>
      <w:r>
        <w:rPr>
          <w:rStyle w:val="5"/>
          <w:rFonts w:hint="eastAsia" w:ascii="宋体" w:hAnsi="宋体" w:eastAsia="宋体" w:cs="宋体"/>
          <w:i w:val="0"/>
          <w:iCs w:val="0"/>
          <w:caps w:val="0"/>
          <w:color w:val="auto"/>
          <w:spacing w:val="0"/>
          <w:sz w:val="28"/>
          <w:szCs w:val="28"/>
          <w:shd w:val="clear" w:fill="FFFFFF"/>
        </w:rPr>
        <w:t>国务院关于印发《2024—2025年</w:t>
      </w:r>
      <w:r>
        <w:rPr>
          <w:rStyle w:val="5"/>
          <w:rFonts w:hint="eastAsia" w:ascii="宋体" w:hAnsi="宋体" w:eastAsia="宋体" w:cs="宋体"/>
          <w:i w:val="0"/>
          <w:iCs w:val="0"/>
          <w:caps w:val="0"/>
          <w:color w:val="auto"/>
          <w:spacing w:val="0"/>
          <w:sz w:val="28"/>
          <w:szCs w:val="28"/>
          <w:shd w:val="clear" w:fill="FFFFFF"/>
        </w:rPr>
        <w:br w:type="textWrapping"/>
      </w:r>
      <w:r>
        <w:rPr>
          <w:rStyle w:val="5"/>
          <w:rFonts w:hint="eastAsia" w:ascii="宋体" w:hAnsi="宋体" w:eastAsia="宋体" w:cs="宋体"/>
          <w:i w:val="0"/>
          <w:iCs w:val="0"/>
          <w:caps w:val="0"/>
          <w:color w:val="auto"/>
          <w:spacing w:val="0"/>
          <w:sz w:val="28"/>
          <w:szCs w:val="28"/>
          <w:shd w:val="clear" w:fill="FFFFFF"/>
        </w:rPr>
        <w:t>节能降碳行动方案》的通知</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0"/>
        <w:jc w:val="center"/>
        <w:rPr>
          <w:rFonts w:hint="eastAsia" w:ascii="宋体" w:hAnsi="宋体" w:eastAsia="宋体" w:cs="宋体"/>
          <w:i w:val="0"/>
          <w:iCs w:val="0"/>
          <w:caps w:val="0"/>
          <w:color w:val="auto"/>
          <w:spacing w:val="0"/>
          <w:sz w:val="18"/>
          <w:szCs w:val="18"/>
        </w:rPr>
      </w:pPr>
      <w:r>
        <w:rPr>
          <w:rFonts w:ascii="楷体" w:hAnsi="楷体" w:eastAsia="楷体" w:cs="楷体"/>
          <w:i w:val="0"/>
          <w:iCs w:val="0"/>
          <w:caps w:val="0"/>
          <w:color w:val="auto"/>
          <w:spacing w:val="0"/>
          <w:sz w:val="18"/>
          <w:szCs w:val="18"/>
          <w:shd w:val="clear" w:fill="FFFFFF"/>
        </w:rPr>
        <w:t>国发〔2024〕12号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18"/>
          <w:szCs w:val="1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0"/>
        <w:rPr>
          <w:rFonts w:hint="eastAsia" w:ascii="宋体" w:hAnsi="宋体" w:eastAsia="宋体" w:cs="宋体"/>
          <w:i w:val="0"/>
          <w:iCs w:val="0"/>
          <w:caps w:val="0"/>
          <w:color w:val="auto"/>
          <w:spacing w:val="0"/>
          <w:sz w:val="18"/>
          <w:szCs w:val="18"/>
        </w:rPr>
      </w:pPr>
      <w:r>
        <w:rPr>
          <w:rFonts w:hint="eastAsia" w:ascii="宋体" w:hAnsi="宋体" w:eastAsia="宋体" w:cs="宋体"/>
          <w:i w:val="0"/>
          <w:iCs w:val="0"/>
          <w:caps w:val="0"/>
          <w:color w:val="auto"/>
          <w:spacing w:val="0"/>
          <w:sz w:val="18"/>
          <w:szCs w:val="18"/>
          <w:shd w:val="clear" w:fill="FFFFFF"/>
        </w:rPr>
        <w:t>各省、自治区、直辖市人民政府，国务院各部委、各直属机构：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18"/>
          <w:szCs w:val="18"/>
        </w:rPr>
      </w:pPr>
      <w:r>
        <w:rPr>
          <w:rFonts w:hint="eastAsia" w:ascii="宋体" w:hAnsi="宋体" w:eastAsia="宋体" w:cs="宋体"/>
          <w:i w:val="0"/>
          <w:iCs w:val="0"/>
          <w:caps w:val="0"/>
          <w:color w:val="auto"/>
          <w:spacing w:val="0"/>
          <w:sz w:val="18"/>
          <w:szCs w:val="18"/>
          <w:shd w:val="clear" w:fill="FFFFFF"/>
        </w:rPr>
        <w:t>现将《2024—2025年节能降碳行动方案》印发给你们，请认真贯彻执行。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0"/>
        <w:jc w:val="right"/>
        <w:rPr>
          <w:rFonts w:hint="eastAsia" w:ascii="宋体" w:hAnsi="宋体" w:eastAsia="宋体" w:cs="宋体"/>
          <w:i w:val="0"/>
          <w:iCs w:val="0"/>
          <w:caps w:val="0"/>
          <w:color w:val="auto"/>
          <w:spacing w:val="0"/>
          <w:sz w:val="18"/>
          <w:szCs w:val="18"/>
        </w:rPr>
      </w:pPr>
      <w:r>
        <w:rPr>
          <w:rFonts w:hint="eastAsia" w:ascii="宋体" w:hAnsi="宋体" w:eastAsia="宋体" w:cs="宋体"/>
          <w:i w:val="0"/>
          <w:iCs w:val="0"/>
          <w:caps w:val="0"/>
          <w:color w:val="auto"/>
          <w:spacing w:val="0"/>
          <w:sz w:val="18"/>
          <w:szCs w:val="18"/>
          <w:shd w:val="clear" w:fill="FFFFFF"/>
        </w:rPr>
        <w:t>国务院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0"/>
        <w:jc w:val="right"/>
        <w:rPr>
          <w:rFonts w:hint="eastAsia" w:ascii="宋体" w:hAnsi="宋体" w:eastAsia="宋体" w:cs="宋体"/>
          <w:i w:val="0"/>
          <w:iCs w:val="0"/>
          <w:caps w:val="0"/>
          <w:color w:val="auto"/>
          <w:spacing w:val="0"/>
          <w:sz w:val="18"/>
          <w:szCs w:val="18"/>
        </w:rPr>
      </w:pPr>
      <w:r>
        <w:rPr>
          <w:rFonts w:hint="eastAsia" w:ascii="宋体" w:hAnsi="宋体" w:eastAsia="宋体" w:cs="宋体"/>
          <w:i w:val="0"/>
          <w:iCs w:val="0"/>
          <w:caps w:val="0"/>
          <w:color w:val="auto"/>
          <w:spacing w:val="0"/>
          <w:sz w:val="18"/>
          <w:szCs w:val="18"/>
          <w:shd w:val="clear" w:fill="FFFFFF"/>
        </w:rPr>
        <w:t>2024年5月23日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18"/>
          <w:szCs w:val="18"/>
        </w:rPr>
      </w:pPr>
      <w:r>
        <w:rPr>
          <w:rFonts w:hint="eastAsia" w:ascii="宋体" w:hAnsi="宋体" w:eastAsia="宋体" w:cs="宋体"/>
          <w:i w:val="0"/>
          <w:iCs w:val="0"/>
          <w:caps w:val="0"/>
          <w:color w:val="auto"/>
          <w:spacing w:val="0"/>
          <w:sz w:val="18"/>
          <w:szCs w:val="18"/>
          <w:shd w:val="clear" w:fill="FFFFFF"/>
        </w:rPr>
        <w:t>（本文有删减）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18"/>
          <w:szCs w:val="1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18"/>
          <w:szCs w:val="1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0"/>
        <w:jc w:val="center"/>
        <w:rPr>
          <w:rFonts w:hint="eastAsia" w:ascii="宋体" w:hAnsi="宋体" w:eastAsia="宋体" w:cs="宋体"/>
          <w:i w:val="0"/>
          <w:iCs w:val="0"/>
          <w:caps w:val="0"/>
          <w:color w:val="auto"/>
          <w:spacing w:val="0"/>
          <w:sz w:val="28"/>
          <w:szCs w:val="28"/>
        </w:rPr>
      </w:pPr>
      <w:r>
        <w:rPr>
          <w:rStyle w:val="5"/>
          <w:rFonts w:hint="eastAsia" w:ascii="宋体" w:hAnsi="宋体" w:eastAsia="宋体" w:cs="宋体"/>
          <w:i w:val="0"/>
          <w:iCs w:val="0"/>
          <w:caps w:val="0"/>
          <w:color w:val="auto"/>
          <w:spacing w:val="0"/>
          <w:sz w:val="28"/>
          <w:szCs w:val="28"/>
          <w:shd w:val="clear" w:fill="FFFFFF"/>
        </w:rPr>
        <w:t>2024—2025年节能降碳行动方案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18"/>
          <w:szCs w:val="1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18"/>
          <w:szCs w:val="18"/>
        </w:rPr>
      </w:pPr>
      <w:r>
        <w:rPr>
          <w:rFonts w:hint="eastAsia" w:ascii="宋体" w:hAnsi="宋体" w:eastAsia="宋体" w:cs="宋体"/>
          <w:i w:val="0"/>
          <w:iCs w:val="0"/>
          <w:caps w:val="0"/>
          <w:color w:val="auto"/>
          <w:spacing w:val="0"/>
          <w:sz w:val="18"/>
          <w:szCs w:val="18"/>
          <w:shd w:val="clear" w:fill="FFFFFF"/>
        </w:rPr>
        <w:t>节能降碳是积极稳妥推进碳达峰碳中和、全面推进美丽中国建设、促进经济社会发展全面绿色转型的重要举措。为加大节能降碳工作推进力度，采取务实管用措施，尽最大努力完成“十四五”节能降碳约束性指标，制定本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18"/>
          <w:szCs w:val="18"/>
        </w:rPr>
      </w:pPr>
      <w:r>
        <w:rPr>
          <w:rStyle w:val="5"/>
          <w:rFonts w:hint="eastAsia" w:ascii="宋体" w:hAnsi="宋体" w:eastAsia="宋体" w:cs="宋体"/>
          <w:i w:val="0"/>
          <w:iCs w:val="0"/>
          <w:caps w:val="0"/>
          <w:color w:val="auto"/>
          <w:spacing w:val="0"/>
          <w:sz w:val="18"/>
          <w:szCs w:val="18"/>
          <w:shd w:val="clear" w:fill="FFFFFF"/>
        </w:rPr>
        <w:t>一、总体要求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18"/>
          <w:szCs w:val="18"/>
        </w:rPr>
      </w:pPr>
      <w:r>
        <w:rPr>
          <w:rFonts w:hint="eastAsia" w:ascii="宋体" w:hAnsi="宋体" w:eastAsia="宋体" w:cs="宋体"/>
          <w:i w:val="0"/>
          <w:iCs w:val="0"/>
          <w:caps w:val="0"/>
          <w:color w:val="auto"/>
          <w:spacing w:val="0"/>
          <w:sz w:val="18"/>
          <w:szCs w:val="18"/>
          <w:shd w:val="clear" w:fill="FFFFFF"/>
        </w:rPr>
        <w:t>以习近平新时代中国特色社会主义思想为指导，深入贯彻党的二十大精神，全面贯彻习近平经济思想、习近平生态文明思想，坚持稳中求进工作总基调，完整、准确、全面贯彻新发展理念，一以贯之坚持节约优先方针，完善能源消耗总量和强度调控，重点控制化石能源消费，强化碳排放强度管理，分领域分行业实施节能降碳专项行动，更高水平更高质量做好节能降碳工作，更好发挥节能降碳的经济效益、社会效益和生态效益，为实现碳达峰碳中和目标奠定坚实基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18"/>
          <w:szCs w:val="18"/>
        </w:rPr>
      </w:pPr>
      <w:r>
        <w:rPr>
          <w:rFonts w:hint="eastAsia" w:ascii="宋体" w:hAnsi="宋体" w:eastAsia="宋体" w:cs="宋体"/>
          <w:i w:val="0"/>
          <w:iCs w:val="0"/>
          <w:caps w:val="0"/>
          <w:color w:val="auto"/>
          <w:spacing w:val="0"/>
          <w:sz w:val="18"/>
          <w:szCs w:val="18"/>
          <w:shd w:val="clear" w:fill="FFFFFF"/>
        </w:rPr>
        <w:t>2024年，单位国内生产总值能源消耗和二氧化碳排放分别降低2.5%左右、3.9%左右，规模以上工业单位增加值能源消耗降低3.5%左右，非化石能源消费占比达到18.9%左右，重点领域和行业节能降碳改造形成节能量约5000万吨标准煤、减排二氧化碳约1.3亿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18"/>
          <w:szCs w:val="18"/>
        </w:rPr>
      </w:pPr>
      <w:r>
        <w:rPr>
          <w:rFonts w:hint="eastAsia" w:ascii="宋体" w:hAnsi="宋体" w:eastAsia="宋体" w:cs="宋体"/>
          <w:i w:val="0"/>
          <w:iCs w:val="0"/>
          <w:caps w:val="0"/>
          <w:color w:val="auto"/>
          <w:spacing w:val="0"/>
          <w:sz w:val="18"/>
          <w:szCs w:val="18"/>
          <w:shd w:val="clear" w:fill="FFFFFF"/>
        </w:rPr>
        <w:t>2025年，非化石能源消费占比达到20%左右，重点领域和行业节能降碳改造形成节能量约5000万吨标准煤、减排二氧化碳约1.3亿吨，尽最大努力完成“十四五”节能降碳约束性指标。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18"/>
          <w:szCs w:val="18"/>
        </w:rPr>
      </w:pPr>
      <w:r>
        <w:rPr>
          <w:rStyle w:val="5"/>
          <w:rFonts w:hint="eastAsia" w:ascii="宋体" w:hAnsi="宋体" w:eastAsia="宋体" w:cs="宋体"/>
          <w:i w:val="0"/>
          <w:iCs w:val="0"/>
          <w:caps w:val="0"/>
          <w:color w:val="auto"/>
          <w:spacing w:val="0"/>
          <w:sz w:val="18"/>
          <w:szCs w:val="18"/>
          <w:shd w:val="clear" w:fill="FFFFFF"/>
        </w:rPr>
        <w:t>二、重点任务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18"/>
          <w:szCs w:val="18"/>
        </w:rPr>
      </w:pPr>
      <w:r>
        <w:rPr>
          <w:rFonts w:hint="eastAsia" w:ascii="楷体" w:hAnsi="楷体" w:eastAsia="楷体" w:cs="楷体"/>
          <w:i w:val="0"/>
          <w:iCs w:val="0"/>
          <w:caps w:val="0"/>
          <w:color w:val="auto"/>
          <w:spacing w:val="0"/>
          <w:sz w:val="18"/>
          <w:szCs w:val="18"/>
          <w:shd w:val="clear" w:fill="FFFFFF"/>
        </w:rPr>
        <w:t>（一）化石能源消费减量替代行动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18"/>
          <w:szCs w:val="18"/>
        </w:rPr>
      </w:pPr>
      <w:r>
        <w:rPr>
          <w:rFonts w:hint="eastAsia" w:ascii="楷体" w:hAnsi="楷体" w:eastAsia="楷体" w:cs="楷体"/>
          <w:i w:val="0"/>
          <w:iCs w:val="0"/>
          <w:caps w:val="0"/>
          <w:color w:val="auto"/>
          <w:spacing w:val="0"/>
          <w:sz w:val="18"/>
          <w:szCs w:val="18"/>
          <w:shd w:val="clear" w:fill="FFFFFF"/>
        </w:rPr>
        <w:t>1.严格合理控制煤炭消费。</w:t>
      </w:r>
      <w:r>
        <w:rPr>
          <w:rFonts w:hint="eastAsia" w:ascii="宋体" w:hAnsi="宋体" w:eastAsia="宋体" w:cs="宋体"/>
          <w:i w:val="0"/>
          <w:iCs w:val="0"/>
          <w:caps w:val="0"/>
          <w:color w:val="auto"/>
          <w:spacing w:val="0"/>
          <w:sz w:val="18"/>
          <w:szCs w:val="18"/>
          <w:shd w:val="clear" w:fill="FFFFFF"/>
        </w:rPr>
        <w:t>加强煤炭清洁高效利用，推动煤电低碳化改造和建设，推进煤电节能降碳改造、灵活性改造、供热改造“三改联动”。严格实施大气污染防治重点区域煤炭消费总量控制，重点削减非电力用煤，持续推进燃煤锅炉关停整合、工业窑炉清洁能源替代和散煤治理。对大气污染防治重点区域新建和改扩建用煤项目依法实行煤炭等量或减量替代。合理控制半焦（兰炭）产业规模。到2025年底，大气污染防治重点区域平原地区散煤基本清零，基本淘汰35蒸吨/小时及以下燃煤锅炉及各类燃煤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18"/>
          <w:szCs w:val="18"/>
        </w:rPr>
      </w:pPr>
      <w:r>
        <w:rPr>
          <w:rFonts w:hint="eastAsia" w:ascii="楷体" w:hAnsi="楷体" w:eastAsia="楷体" w:cs="楷体"/>
          <w:i w:val="0"/>
          <w:iCs w:val="0"/>
          <w:caps w:val="0"/>
          <w:color w:val="auto"/>
          <w:spacing w:val="0"/>
          <w:sz w:val="18"/>
          <w:szCs w:val="18"/>
          <w:shd w:val="clear" w:fill="FFFFFF"/>
        </w:rPr>
        <w:t>2.优化油气消费结构。</w:t>
      </w:r>
      <w:r>
        <w:rPr>
          <w:rFonts w:hint="eastAsia" w:ascii="宋体" w:hAnsi="宋体" w:eastAsia="宋体" w:cs="宋体"/>
          <w:i w:val="0"/>
          <w:iCs w:val="0"/>
          <w:caps w:val="0"/>
          <w:color w:val="auto"/>
          <w:spacing w:val="0"/>
          <w:sz w:val="18"/>
          <w:szCs w:val="18"/>
          <w:shd w:val="clear" w:fill="FFFFFF"/>
        </w:rPr>
        <w:t>合理调控石油消费，推广先进生物液体燃料、可持续航空燃料。加快页岩油（气）、煤层气、致密油（气）等非常规油气资源规模化开发。有序引导天然气消费，优先保障居民生活和北方地区清洁取暖。除石化企业现有自备机组外，不得采用高硫石油焦作为燃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18"/>
          <w:szCs w:val="18"/>
        </w:rPr>
      </w:pPr>
      <w:r>
        <w:rPr>
          <w:rFonts w:hint="eastAsia" w:ascii="楷体" w:hAnsi="楷体" w:eastAsia="楷体" w:cs="楷体"/>
          <w:i w:val="0"/>
          <w:iCs w:val="0"/>
          <w:caps w:val="0"/>
          <w:color w:val="auto"/>
          <w:spacing w:val="0"/>
          <w:sz w:val="18"/>
          <w:szCs w:val="18"/>
          <w:shd w:val="clear" w:fill="FFFFFF"/>
        </w:rPr>
        <w:t>（二）非化石能源消费提升行动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18"/>
          <w:szCs w:val="18"/>
        </w:rPr>
      </w:pPr>
      <w:r>
        <w:rPr>
          <w:rFonts w:hint="eastAsia" w:ascii="楷体" w:hAnsi="楷体" w:eastAsia="楷体" w:cs="楷体"/>
          <w:i w:val="0"/>
          <w:iCs w:val="0"/>
          <w:caps w:val="0"/>
          <w:color w:val="auto"/>
          <w:spacing w:val="0"/>
          <w:sz w:val="18"/>
          <w:szCs w:val="18"/>
          <w:shd w:val="clear" w:fill="FFFFFF"/>
        </w:rPr>
        <w:t>1.加大非化石能源开发力度。</w:t>
      </w:r>
      <w:r>
        <w:rPr>
          <w:rFonts w:hint="eastAsia" w:ascii="宋体" w:hAnsi="宋体" w:eastAsia="宋体" w:cs="宋体"/>
          <w:i w:val="0"/>
          <w:iCs w:val="0"/>
          <w:caps w:val="0"/>
          <w:color w:val="auto"/>
          <w:spacing w:val="0"/>
          <w:sz w:val="18"/>
          <w:szCs w:val="18"/>
          <w:shd w:val="clear" w:fill="FFFFFF"/>
        </w:rPr>
        <w:t>加快建设以沙漠、戈壁、荒漠为重点的大型风电光伏基地。合理有序开发海上风电，促进海洋能规模化开发利用，推动分布式新能源开发利用。有序建设大型水电基地，积极安全有序发展核电，因地制宜发展生物质能，统筹推进氢能发展。到2025年底，全国非化石能源发电量占比达到39%左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18"/>
          <w:szCs w:val="18"/>
        </w:rPr>
      </w:pPr>
      <w:r>
        <w:rPr>
          <w:rFonts w:hint="eastAsia" w:ascii="楷体" w:hAnsi="楷体" w:eastAsia="楷体" w:cs="楷体"/>
          <w:i w:val="0"/>
          <w:iCs w:val="0"/>
          <w:caps w:val="0"/>
          <w:color w:val="auto"/>
          <w:spacing w:val="0"/>
          <w:sz w:val="18"/>
          <w:szCs w:val="18"/>
          <w:shd w:val="clear" w:fill="FFFFFF"/>
        </w:rPr>
        <w:t>2.提升可再生能源消纳能力。</w:t>
      </w:r>
      <w:r>
        <w:rPr>
          <w:rFonts w:hint="eastAsia" w:ascii="宋体" w:hAnsi="宋体" w:eastAsia="宋体" w:cs="宋体"/>
          <w:i w:val="0"/>
          <w:iCs w:val="0"/>
          <w:caps w:val="0"/>
          <w:color w:val="auto"/>
          <w:spacing w:val="0"/>
          <w:sz w:val="18"/>
          <w:szCs w:val="18"/>
          <w:shd w:val="clear" w:fill="FFFFFF"/>
        </w:rPr>
        <w:t>加快建设大型风电光伏基地外送通道，提升跨省跨区输电能力。加快配电网改造，提升分布式新能源承载力。积极发展抽水蓄能、新型储能。大力发展微电网、虚拟电厂、车网互动等新技术新模式。到2025年底，全国抽水蓄能、新型储能装机分别超过6200万千瓦、4000万千瓦；各地区需求响应能力一般应达到最大用电负荷的3%—5%，年度最大用电负荷峰谷差率超过40%的地区需求响应能力应达到最大用电负荷的5%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18"/>
          <w:szCs w:val="18"/>
        </w:rPr>
      </w:pPr>
      <w:r>
        <w:rPr>
          <w:rFonts w:hint="eastAsia" w:ascii="楷体" w:hAnsi="楷体" w:eastAsia="楷体" w:cs="楷体"/>
          <w:i w:val="0"/>
          <w:iCs w:val="0"/>
          <w:caps w:val="0"/>
          <w:color w:val="auto"/>
          <w:spacing w:val="0"/>
          <w:sz w:val="18"/>
          <w:szCs w:val="18"/>
          <w:shd w:val="clear" w:fill="FFFFFF"/>
        </w:rPr>
        <w:t>3.大力促进非化石能源消费。</w:t>
      </w:r>
      <w:r>
        <w:rPr>
          <w:rFonts w:hint="eastAsia" w:ascii="宋体" w:hAnsi="宋体" w:eastAsia="宋体" w:cs="宋体"/>
          <w:i w:val="0"/>
          <w:iCs w:val="0"/>
          <w:caps w:val="0"/>
          <w:color w:val="auto"/>
          <w:spacing w:val="0"/>
          <w:sz w:val="18"/>
          <w:szCs w:val="18"/>
          <w:shd w:val="clear" w:fill="FFFFFF"/>
        </w:rPr>
        <w:t>科学合理确定新能源发展规模，在保证经济性前提下，资源条件较好地区的新能源利用率可降低至90%。“十四五”前三年节能降碳指标进度滞后地区要实行新上项目非化石能源消费承诺，“十四五”后两年新上高耗能项目的非化石能源消费比例不得低于20%，鼓励地方结合实际提高比例要求。加强可再生能源绿色电力证书（以下简称绿证）交易与节能降碳政策衔接，2024年底实现绿证核发全覆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18"/>
          <w:szCs w:val="18"/>
        </w:rPr>
      </w:pPr>
      <w:r>
        <w:rPr>
          <w:rFonts w:hint="eastAsia" w:ascii="楷体" w:hAnsi="楷体" w:eastAsia="楷体" w:cs="楷体"/>
          <w:i w:val="0"/>
          <w:iCs w:val="0"/>
          <w:caps w:val="0"/>
          <w:color w:val="auto"/>
          <w:spacing w:val="0"/>
          <w:sz w:val="18"/>
          <w:szCs w:val="18"/>
          <w:shd w:val="clear" w:fill="FFFFFF"/>
        </w:rPr>
        <w:t>（三）钢铁行业节能降碳行动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18"/>
          <w:szCs w:val="18"/>
        </w:rPr>
      </w:pPr>
      <w:r>
        <w:rPr>
          <w:rFonts w:hint="eastAsia" w:ascii="楷体" w:hAnsi="楷体" w:eastAsia="楷体" w:cs="楷体"/>
          <w:i w:val="0"/>
          <w:iCs w:val="0"/>
          <w:caps w:val="0"/>
          <w:color w:val="auto"/>
          <w:spacing w:val="0"/>
          <w:sz w:val="18"/>
          <w:szCs w:val="18"/>
          <w:shd w:val="clear" w:fill="FFFFFF"/>
        </w:rPr>
        <w:t>1.加强钢铁产能产量调控。</w:t>
      </w:r>
      <w:r>
        <w:rPr>
          <w:rFonts w:hint="eastAsia" w:ascii="宋体" w:hAnsi="宋体" w:eastAsia="宋体" w:cs="宋体"/>
          <w:i w:val="0"/>
          <w:iCs w:val="0"/>
          <w:caps w:val="0"/>
          <w:color w:val="auto"/>
          <w:spacing w:val="0"/>
          <w:sz w:val="18"/>
          <w:szCs w:val="18"/>
          <w:shd w:val="clear" w:fill="FFFFFF"/>
        </w:rPr>
        <w:t>严格落实钢铁产能置换，严禁以机械加工、铸造、铁合金等名义新增钢铁产能，严防“地条钢”产能死灰复燃。2024年继续实施粗钢产量调控。“十四五”前三年节能降碳指标完成进度滞后的地区，“十四五”后两年原则上不得新增钢铁产能。新建和改扩建钢铁冶炼项目须达到能效标杆水平和环保绩效A级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18"/>
          <w:szCs w:val="18"/>
        </w:rPr>
      </w:pPr>
      <w:r>
        <w:rPr>
          <w:rFonts w:hint="eastAsia" w:ascii="楷体" w:hAnsi="楷体" w:eastAsia="楷体" w:cs="楷体"/>
          <w:i w:val="0"/>
          <w:iCs w:val="0"/>
          <w:caps w:val="0"/>
          <w:color w:val="auto"/>
          <w:spacing w:val="0"/>
          <w:sz w:val="18"/>
          <w:szCs w:val="18"/>
          <w:shd w:val="clear" w:fill="FFFFFF"/>
        </w:rPr>
        <w:t>2.深入调整钢铁产品结构。</w:t>
      </w:r>
      <w:r>
        <w:rPr>
          <w:rFonts w:hint="eastAsia" w:ascii="宋体" w:hAnsi="宋体" w:eastAsia="宋体" w:cs="宋体"/>
          <w:i w:val="0"/>
          <w:iCs w:val="0"/>
          <w:caps w:val="0"/>
          <w:color w:val="auto"/>
          <w:spacing w:val="0"/>
          <w:sz w:val="18"/>
          <w:szCs w:val="18"/>
          <w:shd w:val="clear" w:fill="FFFFFF"/>
        </w:rPr>
        <w:t>大力发展高性能特种钢等高端钢铁产品，严控低附加值基础原材料产品出口。推行钢铁、焦化、烧结一体化布局，大幅减少独立焦化、烧结和热轧企业及工序。大力推进废钢循环利用，支持发展电炉短流程炼钢。到2025年底，电炉钢产量占粗钢总产量比例力争提升至15%，废钢利用量达到3亿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18"/>
          <w:szCs w:val="18"/>
        </w:rPr>
      </w:pPr>
      <w:r>
        <w:rPr>
          <w:rFonts w:hint="eastAsia" w:ascii="楷体" w:hAnsi="楷体" w:eastAsia="楷体" w:cs="楷体"/>
          <w:i w:val="0"/>
          <w:iCs w:val="0"/>
          <w:caps w:val="0"/>
          <w:color w:val="auto"/>
          <w:spacing w:val="0"/>
          <w:sz w:val="18"/>
          <w:szCs w:val="18"/>
          <w:shd w:val="clear" w:fill="FFFFFF"/>
        </w:rPr>
        <w:t>3.加快钢铁行业节能降碳改造。</w:t>
      </w:r>
      <w:r>
        <w:rPr>
          <w:rFonts w:hint="eastAsia" w:ascii="宋体" w:hAnsi="宋体" w:eastAsia="宋体" w:cs="宋体"/>
          <w:i w:val="0"/>
          <w:iCs w:val="0"/>
          <w:caps w:val="0"/>
          <w:color w:val="auto"/>
          <w:spacing w:val="0"/>
          <w:sz w:val="18"/>
          <w:szCs w:val="18"/>
          <w:shd w:val="clear" w:fill="FFFFFF"/>
        </w:rPr>
        <w:t>推进高炉炉顶煤气、焦炉煤气余热、低品位余热综合利用，推广铁水一罐到底、铸坯热装热送等工序衔接技术。加强氢冶金等低碳冶炼技术示范应用。到2025年底，钢铁行业能效标杆水平以上产能占比达到30%，能效基准水平以下产能完成技术改造或淘汰退出，全国80%以上钢铁产能完成超低排放改造；与2023年相比，吨钢综合能耗降低2%左右，余热余压余能自发电率提高3个百分点以上。2024—2025年，钢铁行业节能降碳改造形成节能量约2000万吨标准煤、减排二氧化碳约5300万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18"/>
          <w:szCs w:val="18"/>
        </w:rPr>
      </w:pPr>
      <w:r>
        <w:rPr>
          <w:rFonts w:hint="eastAsia" w:ascii="楷体" w:hAnsi="楷体" w:eastAsia="楷体" w:cs="楷体"/>
          <w:i w:val="0"/>
          <w:iCs w:val="0"/>
          <w:caps w:val="0"/>
          <w:color w:val="auto"/>
          <w:spacing w:val="0"/>
          <w:sz w:val="18"/>
          <w:szCs w:val="18"/>
          <w:shd w:val="clear" w:fill="FFFFFF"/>
        </w:rPr>
        <w:t>（四）石化化工行业节能降碳行动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18"/>
          <w:szCs w:val="18"/>
        </w:rPr>
      </w:pPr>
      <w:r>
        <w:rPr>
          <w:rFonts w:hint="eastAsia" w:ascii="楷体" w:hAnsi="楷体" w:eastAsia="楷体" w:cs="楷体"/>
          <w:i w:val="0"/>
          <w:iCs w:val="0"/>
          <w:caps w:val="0"/>
          <w:color w:val="auto"/>
          <w:spacing w:val="0"/>
          <w:sz w:val="18"/>
          <w:szCs w:val="18"/>
          <w:shd w:val="clear" w:fill="FFFFFF"/>
        </w:rPr>
        <w:t>1.严格石化化工产业政策要求。</w:t>
      </w:r>
      <w:r>
        <w:rPr>
          <w:rFonts w:hint="eastAsia" w:ascii="宋体" w:hAnsi="宋体" w:eastAsia="宋体" w:cs="宋体"/>
          <w:i w:val="0"/>
          <w:iCs w:val="0"/>
          <w:caps w:val="0"/>
          <w:color w:val="auto"/>
          <w:spacing w:val="0"/>
          <w:sz w:val="18"/>
          <w:szCs w:val="18"/>
          <w:shd w:val="clear" w:fill="FFFFFF"/>
        </w:rPr>
        <w:t>强化石化产业规划布局刚性约束。严控炼油、电石、磷铵、黄磷等行业新增产能，禁止新建用汞的聚氯乙烯、氯乙烯产能，严格控制新增延迟焦化生产规模。新建和改扩建石化化工项目须达到能效标杆水平和环保绩效A级水平，用于置换的产能须按要求及时关停并拆除主要生产设施。全面淘汰200万吨/年及以下常减压装置。到2025年底，全国原油一次加工能力控制在10亿吨以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18"/>
          <w:szCs w:val="18"/>
        </w:rPr>
      </w:pPr>
      <w:r>
        <w:rPr>
          <w:rFonts w:hint="eastAsia" w:ascii="楷体" w:hAnsi="楷体" w:eastAsia="楷体" w:cs="楷体"/>
          <w:i w:val="0"/>
          <w:iCs w:val="0"/>
          <w:caps w:val="0"/>
          <w:color w:val="auto"/>
          <w:spacing w:val="0"/>
          <w:sz w:val="18"/>
          <w:szCs w:val="18"/>
          <w:shd w:val="clear" w:fill="FFFFFF"/>
        </w:rPr>
        <w:t>2.加快石化化工行业节能降碳改造。</w:t>
      </w:r>
      <w:r>
        <w:rPr>
          <w:rFonts w:hint="eastAsia" w:ascii="宋体" w:hAnsi="宋体" w:eastAsia="宋体" w:cs="宋体"/>
          <w:i w:val="0"/>
          <w:iCs w:val="0"/>
          <w:caps w:val="0"/>
          <w:color w:val="auto"/>
          <w:spacing w:val="0"/>
          <w:sz w:val="18"/>
          <w:szCs w:val="18"/>
          <w:shd w:val="clear" w:fill="FFFFFF"/>
        </w:rPr>
        <w:t>实施能量系统优化，加强高压低压蒸汽、驰放气、余热余压等回收利用，推广大型高效压缩机、先进气化炉等节能设备。到2025年底，炼油、乙烯、合成氨、电石行业能效标杆水平以上产能占比超过30%，能效基准水平以下产能完成技术改造或淘汰退出。2024—2025年，石化化工行业节能降碳改造形成节能量约4000万吨标准煤、减排二氧化碳约1.1亿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18"/>
          <w:szCs w:val="18"/>
        </w:rPr>
      </w:pPr>
      <w:r>
        <w:rPr>
          <w:rFonts w:hint="eastAsia" w:ascii="楷体" w:hAnsi="楷体" w:eastAsia="楷体" w:cs="楷体"/>
          <w:i w:val="0"/>
          <w:iCs w:val="0"/>
          <w:caps w:val="0"/>
          <w:color w:val="auto"/>
          <w:spacing w:val="0"/>
          <w:sz w:val="18"/>
          <w:szCs w:val="18"/>
          <w:shd w:val="clear" w:fill="FFFFFF"/>
        </w:rPr>
        <w:t>3.推进石化化工工艺流程再造。</w:t>
      </w:r>
      <w:r>
        <w:rPr>
          <w:rFonts w:hint="eastAsia" w:ascii="宋体" w:hAnsi="宋体" w:eastAsia="宋体" w:cs="宋体"/>
          <w:i w:val="0"/>
          <w:iCs w:val="0"/>
          <w:caps w:val="0"/>
          <w:color w:val="auto"/>
          <w:spacing w:val="0"/>
          <w:sz w:val="18"/>
          <w:szCs w:val="18"/>
          <w:shd w:val="clear" w:fill="FFFFFF"/>
        </w:rPr>
        <w:t>加快推广新一代离子膜电解槽等先进工艺。大力推进可再生能源替代，鼓励可再生能源制氢技术研发应用，支持建设绿氢炼化工程，逐步降低行业煤制氢用量。有序推进蒸汽驱动改电力驱动，鼓励大型石化化工园区探索利用核能供汽供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18"/>
          <w:szCs w:val="18"/>
        </w:rPr>
      </w:pPr>
      <w:r>
        <w:rPr>
          <w:rFonts w:hint="eastAsia" w:ascii="楷体" w:hAnsi="楷体" w:eastAsia="楷体" w:cs="楷体"/>
          <w:i w:val="0"/>
          <w:iCs w:val="0"/>
          <w:caps w:val="0"/>
          <w:color w:val="auto"/>
          <w:spacing w:val="0"/>
          <w:sz w:val="18"/>
          <w:szCs w:val="18"/>
          <w:shd w:val="clear" w:fill="FFFFFF"/>
        </w:rPr>
        <w:t>（五）有色金属行业节能降碳行动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18"/>
          <w:szCs w:val="18"/>
        </w:rPr>
      </w:pPr>
      <w:r>
        <w:rPr>
          <w:rFonts w:hint="eastAsia" w:ascii="楷体" w:hAnsi="楷体" w:eastAsia="楷体" w:cs="楷体"/>
          <w:i w:val="0"/>
          <w:iCs w:val="0"/>
          <w:caps w:val="0"/>
          <w:color w:val="auto"/>
          <w:spacing w:val="0"/>
          <w:sz w:val="18"/>
          <w:szCs w:val="18"/>
          <w:shd w:val="clear" w:fill="FFFFFF"/>
        </w:rPr>
        <w:t>1.优化有色金属产能布局。</w:t>
      </w:r>
      <w:r>
        <w:rPr>
          <w:rFonts w:hint="eastAsia" w:ascii="宋体" w:hAnsi="宋体" w:eastAsia="宋体" w:cs="宋体"/>
          <w:i w:val="0"/>
          <w:iCs w:val="0"/>
          <w:caps w:val="0"/>
          <w:color w:val="auto"/>
          <w:spacing w:val="0"/>
          <w:sz w:val="18"/>
          <w:szCs w:val="18"/>
          <w:shd w:val="clear" w:fill="FFFFFF"/>
        </w:rPr>
        <w:t>严格落实电解铝产能置换，从严控制铜、氧化铝等冶炼新增产能，合理布局硅、锂、镁等行业新增产能。大力发展再生金属产业。到2025年底，再生金属供应占比达到24%以上，铝水直接合金化比例提高到90%以上。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18"/>
          <w:szCs w:val="18"/>
        </w:rPr>
      </w:pPr>
      <w:r>
        <w:rPr>
          <w:rFonts w:hint="eastAsia" w:ascii="楷体" w:hAnsi="楷体" w:eastAsia="楷体" w:cs="楷体"/>
          <w:i w:val="0"/>
          <w:iCs w:val="0"/>
          <w:caps w:val="0"/>
          <w:color w:val="auto"/>
          <w:spacing w:val="0"/>
          <w:sz w:val="18"/>
          <w:szCs w:val="18"/>
          <w:shd w:val="clear" w:fill="FFFFFF"/>
        </w:rPr>
        <w:t>2.严格新增有色金属项目准入。</w:t>
      </w:r>
      <w:r>
        <w:rPr>
          <w:rFonts w:hint="eastAsia" w:ascii="宋体" w:hAnsi="宋体" w:eastAsia="宋体" w:cs="宋体"/>
          <w:i w:val="0"/>
          <w:iCs w:val="0"/>
          <w:caps w:val="0"/>
          <w:color w:val="auto"/>
          <w:spacing w:val="0"/>
          <w:sz w:val="18"/>
          <w:szCs w:val="18"/>
          <w:shd w:val="clear" w:fill="FFFFFF"/>
        </w:rPr>
        <w:t>新建和改扩建电解铝项目须达到能效标杆水平和环保绩效A级水平，新建和改扩建氧化铝项目能效须达到强制性能耗限额标准先进值。新建多晶硅、锂电池正负极项目能效须达到行业先进水平。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18"/>
          <w:szCs w:val="18"/>
        </w:rPr>
      </w:pPr>
      <w:r>
        <w:rPr>
          <w:rFonts w:hint="eastAsia" w:ascii="楷体" w:hAnsi="楷体" w:eastAsia="楷体" w:cs="楷体"/>
          <w:i w:val="0"/>
          <w:iCs w:val="0"/>
          <w:caps w:val="0"/>
          <w:color w:val="auto"/>
          <w:spacing w:val="0"/>
          <w:sz w:val="18"/>
          <w:szCs w:val="18"/>
          <w:shd w:val="clear" w:fill="FFFFFF"/>
        </w:rPr>
        <w:t>3.推进有色金属行业节能降碳改造。</w:t>
      </w:r>
      <w:r>
        <w:rPr>
          <w:rFonts w:hint="eastAsia" w:ascii="宋体" w:hAnsi="宋体" w:eastAsia="宋体" w:cs="宋体"/>
          <w:i w:val="0"/>
          <w:iCs w:val="0"/>
          <w:caps w:val="0"/>
          <w:color w:val="auto"/>
          <w:spacing w:val="0"/>
          <w:sz w:val="18"/>
          <w:szCs w:val="18"/>
          <w:shd w:val="clear" w:fill="FFFFFF"/>
        </w:rPr>
        <w:t>推广高效稳定铝电解、铜锍连续吹炼、竖式还原炼镁、大型矿热炉制硅等先进技术，加快有色金属行业节能降碳改造。到2025年底，电解铝行业能效标杆水平以上产能占比达到30%，可再生能源使用比例达到25%以上；铜、铅、锌冶炼能效标杆水平以上产能占比达到50%；有色金属行业能效基准水平以下产能完成技术改造或淘汰退出。2024—2025年，有色金属行业节能降碳改造形成节能量约500万吨标准煤、减排二氧化碳约1300万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18"/>
          <w:szCs w:val="18"/>
        </w:rPr>
      </w:pPr>
      <w:r>
        <w:rPr>
          <w:rFonts w:hint="eastAsia" w:ascii="楷体" w:hAnsi="楷体" w:eastAsia="楷体" w:cs="楷体"/>
          <w:i w:val="0"/>
          <w:iCs w:val="0"/>
          <w:caps w:val="0"/>
          <w:color w:val="auto"/>
          <w:spacing w:val="0"/>
          <w:sz w:val="18"/>
          <w:szCs w:val="18"/>
          <w:shd w:val="clear" w:fill="FFFFFF"/>
        </w:rPr>
        <w:t>（六）建材行业节能降碳行动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18"/>
          <w:szCs w:val="18"/>
        </w:rPr>
      </w:pPr>
      <w:r>
        <w:rPr>
          <w:rFonts w:hint="eastAsia" w:ascii="楷体" w:hAnsi="楷体" w:eastAsia="楷体" w:cs="楷体"/>
          <w:i w:val="0"/>
          <w:iCs w:val="0"/>
          <w:caps w:val="0"/>
          <w:color w:val="auto"/>
          <w:spacing w:val="0"/>
          <w:sz w:val="18"/>
          <w:szCs w:val="18"/>
          <w:shd w:val="clear" w:fill="FFFFFF"/>
        </w:rPr>
        <w:t>1.加强建材行业产能产量调控。</w:t>
      </w:r>
      <w:r>
        <w:rPr>
          <w:rFonts w:hint="eastAsia" w:ascii="宋体" w:hAnsi="宋体" w:eastAsia="宋体" w:cs="宋体"/>
          <w:i w:val="0"/>
          <w:iCs w:val="0"/>
          <w:caps w:val="0"/>
          <w:color w:val="auto"/>
          <w:spacing w:val="0"/>
          <w:sz w:val="18"/>
          <w:szCs w:val="18"/>
          <w:shd w:val="clear" w:fill="FFFFFF"/>
        </w:rPr>
        <w:t>严格落实水泥、平板玻璃产能置换。加强建材行业产量监测预警，推动水泥错峰生产常态化。鼓励尾矿、废石、废渣、工业副产石膏等综合利用。到2025年底，全国水泥熟料产能控制在18亿吨左右。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18"/>
          <w:szCs w:val="18"/>
        </w:rPr>
      </w:pPr>
      <w:r>
        <w:rPr>
          <w:rFonts w:hint="eastAsia" w:ascii="楷体" w:hAnsi="楷体" w:eastAsia="楷体" w:cs="楷体"/>
          <w:i w:val="0"/>
          <w:iCs w:val="0"/>
          <w:caps w:val="0"/>
          <w:color w:val="auto"/>
          <w:spacing w:val="0"/>
          <w:sz w:val="18"/>
          <w:szCs w:val="18"/>
          <w:shd w:val="clear" w:fill="FFFFFF"/>
        </w:rPr>
        <w:t>2.严格新增建材项目准入。</w:t>
      </w:r>
      <w:r>
        <w:rPr>
          <w:rFonts w:hint="eastAsia" w:ascii="宋体" w:hAnsi="宋体" w:eastAsia="宋体" w:cs="宋体"/>
          <w:i w:val="0"/>
          <w:iCs w:val="0"/>
          <w:caps w:val="0"/>
          <w:color w:val="auto"/>
          <w:spacing w:val="0"/>
          <w:sz w:val="18"/>
          <w:szCs w:val="18"/>
          <w:shd w:val="clear" w:fill="FFFFFF"/>
        </w:rPr>
        <w:t>新建和改扩建水泥、陶瓷、平板玻璃项目须达到能效标杆水平和环保绩效A级水平。大力发展绿色建材，推动基础原材料制品化、墙体保温材料轻型化和装饰装修材料装配化。到2025年底，水泥、陶瓷行业能效标杆水平以上产能占比达到30%，平板玻璃行业能效标杆水平以上产能占比达到20%，建材行业能效基准水平以下产能完成技术改造或淘汰退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18"/>
          <w:szCs w:val="18"/>
        </w:rPr>
      </w:pPr>
      <w:r>
        <w:rPr>
          <w:rFonts w:hint="eastAsia" w:ascii="楷体" w:hAnsi="楷体" w:eastAsia="楷体" w:cs="楷体"/>
          <w:i w:val="0"/>
          <w:iCs w:val="0"/>
          <w:caps w:val="0"/>
          <w:color w:val="auto"/>
          <w:spacing w:val="0"/>
          <w:sz w:val="18"/>
          <w:szCs w:val="18"/>
          <w:shd w:val="clear" w:fill="FFFFFF"/>
        </w:rPr>
        <w:t>3.推进建材行业节能降碳改造。</w:t>
      </w:r>
      <w:r>
        <w:rPr>
          <w:rFonts w:hint="eastAsia" w:ascii="宋体" w:hAnsi="宋体" w:eastAsia="宋体" w:cs="宋体"/>
          <w:i w:val="0"/>
          <w:iCs w:val="0"/>
          <w:caps w:val="0"/>
          <w:color w:val="auto"/>
          <w:spacing w:val="0"/>
          <w:sz w:val="18"/>
          <w:szCs w:val="18"/>
          <w:shd w:val="clear" w:fill="FFFFFF"/>
        </w:rPr>
        <w:t>优化建材行业用能结构，推进用煤电气化。加快水泥原料替代，提升工业固体废弃物资源化利用水平。推广浮法玻璃一窑多线、陶瓷干法制粉、低阻旋风预热器、高效篦冷机等节能工艺和设备。到2025年底，大气污染防治重点区域50%左右水泥熟料产能完成超低排放改造。2024—2025年，建材行业节能降碳改造形成节能量约1000万吨标准煤、减排二氧化碳约2600万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18"/>
          <w:szCs w:val="18"/>
        </w:rPr>
      </w:pPr>
      <w:r>
        <w:rPr>
          <w:rFonts w:hint="eastAsia" w:ascii="楷体" w:hAnsi="楷体" w:eastAsia="楷体" w:cs="楷体"/>
          <w:i w:val="0"/>
          <w:iCs w:val="0"/>
          <w:caps w:val="0"/>
          <w:color w:val="auto"/>
          <w:spacing w:val="0"/>
          <w:sz w:val="18"/>
          <w:szCs w:val="18"/>
          <w:shd w:val="clear" w:fill="FFFFFF"/>
        </w:rPr>
        <w:t>（七）建筑节能降碳行动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18"/>
          <w:szCs w:val="18"/>
        </w:rPr>
      </w:pPr>
      <w:r>
        <w:rPr>
          <w:rFonts w:hint="eastAsia" w:ascii="楷体" w:hAnsi="楷体" w:eastAsia="楷体" w:cs="楷体"/>
          <w:i w:val="0"/>
          <w:iCs w:val="0"/>
          <w:caps w:val="0"/>
          <w:color w:val="auto"/>
          <w:spacing w:val="0"/>
          <w:sz w:val="18"/>
          <w:szCs w:val="18"/>
          <w:shd w:val="clear" w:fill="FFFFFF"/>
        </w:rPr>
        <w:t>1.加快建造方式转型。</w:t>
      </w:r>
      <w:r>
        <w:rPr>
          <w:rFonts w:hint="eastAsia" w:ascii="宋体" w:hAnsi="宋体" w:eastAsia="宋体" w:cs="宋体"/>
          <w:i w:val="0"/>
          <w:iCs w:val="0"/>
          <w:caps w:val="0"/>
          <w:color w:val="auto"/>
          <w:spacing w:val="0"/>
          <w:sz w:val="18"/>
          <w:szCs w:val="18"/>
          <w:shd w:val="clear" w:fill="FFFFFF"/>
        </w:rPr>
        <w:t>严格执行建筑节能降碳强制性标准，强化绿色设计和施工管理，研发推广新型建材及先进技术。大力发展装配式建筑，积极推动智能建造，加快建筑光伏一体化建设。因地制宜推进北方地区清洁取暖，推动余热供暖规模化发展。到2025年底，城镇新建建筑全面执行绿色建筑标准，新建公共机构建筑、新建厂房屋顶光伏覆盖率力争达到50%，城镇建筑可再生能源替代率达到8%，新建超低能耗建筑、近零能耗建筑面积较2023年增长2000万平方米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18"/>
          <w:szCs w:val="18"/>
        </w:rPr>
      </w:pPr>
      <w:r>
        <w:rPr>
          <w:rFonts w:hint="eastAsia" w:ascii="楷体" w:hAnsi="楷体" w:eastAsia="楷体" w:cs="楷体"/>
          <w:i w:val="0"/>
          <w:iCs w:val="0"/>
          <w:caps w:val="0"/>
          <w:color w:val="auto"/>
          <w:spacing w:val="0"/>
          <w:sz w:val="18"/>
          <w:szCs w:val="18"/>
          <w:shd w:val="clear" w:fill="FFFFFF"/>
        </w:rPr>
        <w:t>2.推进存量建筑改造。</w:t>
      </w:r>
      <w:r>
        <w:rPr>
          <w:rFonts w:hint="eastAsia" w:ascii="宋体" w:hAnsi="宋体" w:eastAsia="宋体" w:cs="宋体"/>
          <w:i w:val="0"/>
          <w:iCs w:val="0"/>
          <w:caps w:val="0"/>
          <w:color w:val="auto"/>
          <w:spacing w:val="0"/>
          <w:sz w:val="18"/>
          <w:szCs w:val="18"/>
          <w:shd w:val="clear" w:fill="FFFFFF"/>
        </w:rPr>
        <w:t>落实大规模设备更新有关政策，结合城市更新行动、老旧小区改造等工作，推进热泵机组、散热器、冷水机组、外窗（幕墙）、外墙（屋顶）保温、照明设备、电梯、老旧供热管网等更新升级，加快建筑节能改造。加快供热计量改造和按热量收费，各地区要结合实际明确量化目标和改造时限。实施节能门窗推广行动。到2025年底，完成既有建筑节能改造面积较2023年增长2亿平方米以上，城市供热管网热损失较2020年降低2个百分点左右，改造后的居住建筑、公共建筑节能率分别提高30%、20%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18"/>
          <w:szCs w:val="18"/>
        </w:rPr>
      </w:pPr>
      <w:r>
        <w:rPr>
          <w:rFonts w:hint="eastAsia" w:ascii="楷体" w:hAnsi="楷体" w:eastAsia="楷体" w:cs="楷体"/>
          <w:i w:val="0"/>
          <w:iCs w:val="0"/>
          <w:caps w:val="0"/>
          <w:color w:val="auto"/>
          <w:spacing w:val="0"/>
          <w:sz w:val="18"/>
          <w:szCs w:val="18"/>
          <w:shd w:val="clear" w:fill="FFFFFF"/>
        </w:rPr>
        <w:t>3.加强建筑运行管理。</w:t>
      </w:r>
      <w:r>
        <w:rPr>
          <w:rFonts w:hint="eastAsia" w:ascii="宋体" w:hAnsi="宋体" w:eastAsia="宋体" w:cs="宋体"/>
          <w:i w:val="0"/>
          <w:iCs w:val="0"/>
          <w:caps w:val="0"/>
          <w:color w:val="auto"/>
          <w:spacing w:val="0"/>
          <w:sz w:val="18"/>
          <w:szCs w:val="18"/>
          <w:shd w:val="clear" w:fill="FFFFFF"/>
        </w:rPr>
        <w:t>分批次开展公共建筑和居住建筑节能督查检查。建立公共建筑运行调适制度，严格公共建筑室内温度控制。在大型公共建筑中探索推广用电设备智能群控技术，合理调配用电负荷。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18"/>
          <w:szCs w:val="18"/>
        </w:rPr>
      </w:pPr>
      <w:r>
        <w:rPr>
          <w:rFonts w:hint="eastAsia" w:ascii="楷体" w:hAnsi="楷体" w:eastAsia="楷体" w:cs="楷体"/>
          <w:i w:val="0"/>
          <w:iCs w:val="0"/>
          <w:caps w:val="0"/>
          <w:color w:val="auto"/>
          <w:spacing w:val="0"/>
          <w:sz w:val="18"/>
          <w:szCs w:val="18"/>
          <w:shd w:val="clear" w:fill="FFFFFF"/>
        </w:rPr>
        <w:t>（八）交通运输节能降碳行动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18"/>
          <w:szCs w:val="18"/>
        </w:rPr>
      </w:pPr>
      <w:r>
        <w:rPr>
          <w:rFonts w:hint="eastAsia" w:ascii="楷体" w:hAnsi="楷体" w:eastAsia="楷体" w:cs="楷体"/>
          <w:i w:val="0"/>
          <w:iCs w:val="0"/>
          <w:caps w:val="0"/>
          <w:color w:val="auto"/>
          <w:spacing w:val="0"/>
          <w:sz w:val="18"/>
          <w:szCs w:val="18"/>
          <w:shd w:val="clear" w:fill="FFFFFF"/>
        </w:rPr>
        <w:t>1.推进低碳交通基础设施建设。</w:t>
      </w:r>
      <w:r>
        <w:rPr>
          <w:rFonts w:hint="eastAsia" w:ascii="宋体" w:hAnsi="宋体" w:eastAsia="宋体" w:cs="宋体"/>
          <w:i w:val="0"/>
          <w:iCs w:val="0"/>
          <w:caps w:val="0"/>
          <w:color w:val="auto"/>
          <w:spacing w:val="0"/>
          <w:sz w:val="18"/>
          <w:szCs w:val="18"/>
          <w:shd w:val="clear" w:fill="FFFFFF"/>
        </w:rPr>
        <w:t>提升车站、铁路、机场等用能电气化水平，推动非道路移动机械新能源化，加快国内运输船舶和港口岸电设施匹配改造。鼓励交通枢纽场站及路网沿线建设光伏发电设施。加强充电基础设施建设。因地制宜发展城市轨道交通、快速公交系统，加快推进公交专用道连续成网。完善城市慢行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18"/>
          <w:szCs w:val="18"/>
        </w:rPr>
      </w:pPr>
      <w:r>
        <w:rPr>
          <w:rFonts w:hint="eastAsia" w:ascii="楷体" w:hAnsi="楷体" w:eastAsia="楷体" w:cs="楷体"/>
          <w:i w:val="0"/>
          <w:iCs w:val="0"/>
          <w:caps w:val="0"/>
          <w:color w:val="auto"/>
          <w:spacing w:val="0"/>
          <w:sz w:val="18"/>
          <w:szCs w:val="18"/>
          <w:shd w:val="clear" w:fill="FFFFFF"/>
        </w:rPr>
        <w:t>2.推进交通运输装备低碳转型。</w:t>
      </w:r>
      <w:r>
        <w:rPr>
          <w:rFonts w:hint="eastAsia" w:ascii="宋体" w:hAnsi="宋体" w:eastAsia="宋体" w:cs="宋体"/>
          <w:i w:val="0"/>
          <w:iCs w:val="0"/>
          <w:caps w:val="0"/>
          <w:color w:val="auto"/>
          <w:spacing w:val="0"/>
          <w:sz w:val="18"/>
          <w:szCs w:val="18"/>
          <w:shd w:val="clear" w:fill="FFFFFF"/>
        </w:rPr>
        <w:t>加快淘汰老旧机动车，提高营运车辆能耗限值准入标准。逐步取消各地新能源汽车购买限制。落实便利新能源汽车通行等支持政策。推动公共领域车辆电动化，有序推广新能源中重型货车，发展零排放货运车队。推进老旧运输船舶报废更新，推动开展沿海内河船舶电气化改造工程试点。到2025年底，交通运输领域二氧化碳排放强度较2020年降低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18"/>
          <w:szCs w:val="18"/>
        </w:rPr>
      </w:pPr>
      <w:r>
        <w:rPr>
          <w:rFonts w:hint="eastAsia" w:ascii="楷体" w:hAnsi="楷体" w:eastAsia="楷体" w:cs="楷体"/>
          <w:i w:val="0"/>
          <w:iCs w:val="0"/>
          <w:caps w:val="0"/>
          <w:color w:val="auto"/>
          <w:spacing w:val="0"/>
          <w:sz w:val="18"/>
          <w:szCs w:val="18"/>
          <w:shd w:val="clear" w:fill="FFFFFF"/>
        </w:rPr>
        <w:t>3.优化交通运输结构。</w:t>
      </w:r>
      <w:r>
        <w:rPr>
          <w:rFonts w:hint="eastAsia" w:ascii="宋体" w:hAnsi="宋体" w:eastAsia="宋体" w:cs="宋体"/>
          <w:i w:val="0"/>
          <w:iCs w:val="0"/>
          <w:caps w:val="0"/>
          <w:color w:val="auto"/>
          <w:spacing w:val="0"/>
          <w:sz w:val="18"/>
          <w:szCs w:val="18"/>
          <w:shd w:val="clear" w:fill="FFFFFF"/>
        </w:rPr>
        <w:t>推进港口集疏运铁路、物流园区及大型工矿企业铁路专用线建设，推动大宗货物及集装箱中长距离运输“公转铁”、“公转水”。加快发展多式联运，推动重点行业清洁运输。实施城市公共交通优先发展战略。加快城市货运配送绿色低碳、集约高效发展。到2025年底，铁路和水路货运量分别较2020年增长10%、12%，铁路单位换算周转量综合能耗较2020年降低4.5%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18"/>
          <w:szCs w:val="18"/>
        </w:rPr>
      </w:pPr>
      <w:r>
        <w:rPr>
          <w:rFonts w:hint="eastAsia" w:ascii="楷体" w:hAnsi="楷体" w:eastAsia="楷体" w:cs="楷体"/>
          <w:i w:val="0"/>
          <w:iCs w:val="0"/>
          <w:caps w:val="0"/>
          <w:color w:val="auto"/>
          <w:spacing w:val="0"/>
          <w:sz w:val="18"/>
          <w:szCs w:val="18"/>
          <w:shd w:val="clear" w:fill="FFFFFF"/>
        </w:rPr>
        <w:t>（九）公共机构节能降碳行动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18"/>
          <w:szCs w:val="18"/>
        </w:rPr>
      </w:pPr>
      <w:r>
        <w:rPr>
          <w:rFonts w:hint="eastAsia" w:ascii="楷体" w:hAnsi="楷体" w:eastAsia="楷体" w:cs="楷体"/>
          <w:i w:val="0"/>
          <w:iCs w:val="0"/>
          <w:caps w:val="0"/>
          <w:color w:val="auto"/>
          <w:spacing w:val="0"/>
          <w:sz w:val="18"/>
          <w:szCs w:val="18"/>
          <w:shd w:val="clear" w:fill="FFFFFF"/>
        </w:rPr>
        <w:t>1.加强公共机构节能降碳管理。</w:t>
      </w:r>
      <w:r>
        <w:rPr>
          <w:rFonts w:hint="eastAsia" w:ascii="宋体" w:hAnsi="宋体" w:eastAsia="宋体" w:cs="宋体"/>
          <w:i w:val="0"/>
          <w:iCs w:val="0"/>
          <w:caps w:val="0"/>
          <w:color w:val="auto"/>
          <w:spacing w:val="0"/>
          <w:sz w:val="18"/>
          <w:szCs w:val="18"/>
          <w:shd w:val="clear" w:fill="FFFFFF"/>
        </w:rPr>
        <w:t>严格实施对公共机构的节能目标责任评价考核，探索能耗定额预算制度。各级机关事务管理部门每年要将机关节能目标责任评价考核结果报告同级人民政府。到2025年底，公共机构单位建筑面积能耗、单位建筑面积碳排放、人均综合能耗分别较2020年降低5%、7%、6%。</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18"/>
          <w:szCs w:val="18"/>
        </w:rPr>
      </w:pPr>
      <w:r>
        <w:rPr>
          <w:rFonts w:hint="eastAsia" w:ascii="楷体" w:hAnsi="楷体" w:eastAsia="楷体" w:cs="楷体"/>
          <w:i w:val="0"/>
          <w:iCs w:val="0"/>
          <w:caps w:val="0"/>
          <w:color w:val="auto"/>
          <w:spacing w:val="0"/>
          <w:sz w:val="18"/>
          <w:szCs w:val="18"/>
          <w:shd w:val="clear" w:fill="FFFFFF"/>
        </w:rPr>
        <w:t>2.实施公共机构节能降碳改造。</w:t>
      </w:r>
      <w:r>
        <w:rPr>
          <w:rFonts w:hint="eastAsia" w:ascii="宋体" w:hAnsi="宋体" w:eastAsia="宋体" w:cs="宋体"/>
          <w:i w:val="0"/>
          <w:iCs w:val="0"/>
          <w:caps w:val="0"/>
          <w:color w:val="auto"/>
          <w:spacing w:val="0"/>
          <w:sz w:val="18"/>
          <w:szCs w:val="18"/>
          <w:shd w:val="clear" w:fill="FFFFFF"/>
        </w:rPr>
        <w:t>实施公共机构节能降碳改造和用能设备更新清单管理。推进煤炭减量替代，加快淘汰老旧柴油公务用车。到2025年底，公共机构煤炭消费占比降至13%以下，中央和国家机关新增锅炉、变配电、电梯、供热、制冷等重点用能设备能效先进水平占比达到80%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18"/>
          <w:szCs w:val="18"/>
        </w:rPr>
      </w:pPr>
      <w:r>
        <w:rPr>
          <w:rFonts w:hint="eastAsia" w:ascii="楷体" w:hAnsi="楷体" w:eastAsia="楷体" w:cs="楷体"/>
          <w:i w:val="0"/>
          <w:iCs w:val="0"/>
          <w:caps w:val="0"/>
          <w:color w:val="auto"/>
          <w:spacing w:val="0"/>
          <w:sz w:val="18"/>
          <w:szCs w:val="18"/>
          <w:shd w:val="clear" w:fill="FFFFFF"/>
        </w:rPr>
        <w:t>（十）用能产品设备节能降碳行动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18"/>
          <w:szCs w:val="18"/>
        </w:rPr>
      </w:pPr>
      <w:r>
        <w:rPr>
          <w:rFonts w:hint="eastAsia" w:ascii="楷体" w:hAnsi="楷体" w:eastAsia="楷体" w:cs="楷体"/>
          <w:i w:val="0"/>
          <w:iCs w:val="0"/>
          <w:caps w:val="0"/>
          <w:color w:val="auto"/>
          <w:spacing w:val="0"/>
          <w:sz w:val="18"/>
          <w:szCs w:val="18"/>
          <w:shd w:val="clear" w:fill="FFFFFF"/>
        </w:rPr>
        <w:t>1.加快用能产品设备和设施更新改造。</w:t>
      </w:r>
      <w:r>
        <w:rPr>
          <w:rFonts w:hint="eastAsia" w:ascii="宋体" w:hAnsi="宋体" w:eastAsia="宋体" w:cs="宋体"/>
          <w:i w:val="0"/>
          <w:iCs w:val="0"/>
          <w:caps w:val="0"/>
          <w:color w:val="auto"/>
          <w:spacing w:val="0"/>
          <w:sz w:val="18"/>
          <w:szCs w:val="18"/>
          <w:shd w:val="clear" w:fill="FFFFFF"/>
        </w:rPr>
        <w:t>动态更新重点用能产品设备能效先进水平、节能水平和准入水平，推动重点用能设备更新升级，加快数据中心节能降碳改造。与2021年相比，2025年工业锅炉、电站锅炉平均运行热效率分别提高5个百分点以上、0.5个百分点以上，在运高效节能电机、高效节能变压器占比分别提高5个百分点以上、10个百分点以上，在运工商业制冷设备、家用制冷设备、通用照明设备中的高效节能产品占比分别达到40%、60%、50%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18"/>
          <w:szCs w:val="18"/>
        </w:rPr>
      </w:pPr>
      <w:r>
        <w:rPr>
          <w:rFonts w:hint="eastAsia" w:ascii="楷体" w:hAnsi="楷体" w:eastAsia="楷体" w:cs="楷体"/>
          <w:i w:val="0"/>
          <w:iCs w:val="0"/>
          <w:caps w:val="0"/>
          <w:color w:val="auto"/>
          <w:spacing w:val="0"/>
          <w:sz w:val="18"/>
          <w:szCs w:val="18"/>
          <w:shd w:val="clear" w:fill="FFFFFF"/>
        </w:rPr>
        <w:t>2.加强废旧产品设备循环利用。</w:t>
      </w:r>
      <w:r>
        <w:rPr>
          <w:rFonts w:hint="eastAsia" w:ascii="宋体" w:hAnsi="宋体" w:eastAsia="宋体" w:cs="宋体"/>
          <w:i w:val="0"/>
          <w:iCs w:val="0"/>
          <w:caps w:val="0"/>
          <w:color w:val="auto"/>
          <w:spacing w:val="0"/>
          <w:sz w:val="18"/>
          <w:szCs w:val="18"/>
          <w:shd w:val="clear" w:fill="FFFFFF"/>
        </w:rPr>
        <w:t>加快废旧物资循环利用体系建设，加强废旧产品设备回收处置供需对接。开展企业回收目标责任制行动。加强工业装备、信息通信、风电光伏、动力电池等回收利用。建立重要资源消耗、回收利用、处理处置、再生原料消费等基础数据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18"/>
          <w:szCs w:val="18"/>
        </w:rPr>
      </w:pPr>
      <w:r>
        <w:rPr>
          <w:rStyle w:val="5"/>
          <w:rFonts w:hint="eastAsia" w:ascii="宋体" w:hAnsi="宋体" w:eastAsia="宋体" w:cs="宋体"/>
          <w:i w:val="0"/>
          <w:iCs w:val="0"/>
          <w:caps w:val="0"/>
          <w:color w:val="auto"/>
          <w:spacing w:val="0"/>
          <w:sz w:val="18"/>
          <w:szCs w:val="18"/>
          <w:shd w:val="clear" w:fill="FFFFFF"/>
        </w:rPr>
        <w:t>三、管理机制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18"/>
          <w:szCs w:val="18"/>
        </w:rPr>
      </w:pPr>
      <w:r>
        <w:rPr>
          <w:rFonts w:hint="eastAsia" w:ascii="楷体" w:hAnsi="楷体" w:eastAsia="楷体" w:cs="楷体"/>
          <w:i w:val="0"/>
          <w:iCs w:val="0"/>
          <w:caps w:val="0"/>
          <w:color w:val="auto"/>
          <w:spacing w:val="0"/>
          <w:sz w:val="18"/>
          <w:szCs w:val="18"/>
          <w:shd w:val="clear" w:fill="FFFFFF"/>
        </w:rPr>
        <w:t>（一）强化节能降碳目标责任和评价考核。</w:t>
      </w:r>
      <w:r>
        <w:rPr>
          <w:rFonts w:hint="eastAsia" w:ascii="宋体" w:hAnsi="宋体" w:eastAsia="宋体" w:cs="宋体"/>
          <w:i w:val="0"/>
          <w:iCs w:val="0"/>
          <w:caps w:val="0"/>
          <w:color w:val="auto"/>
          <w:spacing w:val="0"/>
          <w:sz w:val="18"/>
          <w:szCs w:val="18"/>
          <w:shd w:val="clear" w:fill="FFFFFF"/>
        </w:rPr>
        <w:t>落实原料用能和非化石能源不纳入能源消耗总量和强度调控等政策，细化分解各地区和重点领域、重点行业节能降碳目标任务。严格实施节能目标责任评价考核，统筹考核节能改造量和非化石能源消费量。加强节能降碳形势分析，实施能耗强度降低提醒预警，强化碳排放强度降低进展评估。压实企业节能降碳主体责任。在中央企业负责人经营业绩考核中强化节能降碳目标考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18"/>
          <w:szCs w:val="18"/>
        </w:rPr>
      </w:pPr>
      <w:r>
        <w:rPr>
          <w:rFonts w:hint="eastAsia" w:ascii="楷体" w:hAnsi="楷体" w:eastAsia="楷体" w:cs="楷体"/>
          <w:i w:val="0"/>
          <w:iCs w:val="0"/>
          <w:caps w:val="0"/>
          <w:color w:val="auto"/>
          <w:spacing w:val="0"/>
          <w:sz w:val="18"/>
          <w:szCs w:val="18"/>
          <w:shd w:val="clear" w:fill="FFFFFF"/>
        </w:rPr>
        <w:t>（二）严格固定资产投资项目节能审查和环评审批。</w:t>
      </w:r>
      <w:r>
        <w:rPr>
          <w:rFonts w:hint="eastAsia" w:ascii="宋体" w:hAnsi="宋体" w:eastAsia="宋体" w:cs="宋体"/>
          <w:i w:val="0"/>
          <w:iCs w:val="0"/>
          <w:caps w:val="0"/>
          <w:color w:val="auto"/>
          <w:spacing w:val="0"/>
          <w:sz w:val="18"/>
          <w:szCs w:val="18"/>
          <w:shd w:val="clear" w:fill="FFFFFF"/>
        </w:rPr>
        <w:t>加强节能审查源头把关，切实发挥能耗、排放、技术等标准牵引作用，坚决遏制高耗能、高排放、低水平项目盲目上马。建立重大项目节能审查权限动态调整机制，研究按机制上收个别重点行业特大型项目节能审查权限，加强节能审查事中事后监管。将碳排放评价有关要求纳入固定资产投资项目节能审查，对项目用能和碳排放情况开展综合评价。严格落实建设项目环境影响评价制度，开展重点行业建设项目温室气体排放环境影响评价。重大能源工程建设依法开展规划环境影响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18"/>
          <w:szCs w:val="18"/>
        </w:rPr>
      </w:pPr>
      <w:r>
        <w:rPr>
          <w:rFonts w:hint="eastAsia" w:ascii="楷体" w:hAnsi="楷体" w:eastAsia="楷体" w:cs="楷体"/>
          <w:i w:val="0"/>
          <w:iCs w:val="0"/>
          <w:caps w:val="0"/>
          <w:color w:val="auto"/>
          <w:spacing w:val="0"/>
          <w:sz w:val="18"/>
          <w:szCs w:val="18"/>
          <w:shd w:val="clear" w:fill="FFFFFF"/>
        </w:rPr>
        <w:t>（三）加强重点用能单位节能降碳管理。</w:t>
      </w:r>
      <w:r>
        <w:rPr>
          <w:rFonts w:hint="eastAsia" w:ascii="宋体" w:hAnsi="宋体" w:eastAsia="宋体" w:cs="宋体"/>
          <w:i w:val="0"/>
          <w:iCs w:val="0"/>
          <w:caps w:val="0"/>
          <w:color w:val="auto"/>
          <w:spacing w:val="0"/>
          <w:sz w:val="18"/>
          <w:szCs w:val="18"/>
          <w:shd w:val="clear" w:fill="FFFFFF"/>
        </w:rPr>
        <w:t>建立重点用能单位节能管理档案，强化能源利用状况报告报送审查，完善能耗在线监测系统建设运行。开展重点领域能效诊断，建立健全节能降碳改造和用能设备更新项目储备清单。将可再生能源电力消纳责任权重分解至重点用能单位。实行重点用能单位化石能源消费预算管理，超出预算部分通过购买绿电绿证进行抵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18"/>
          <w:szCs w:val="18"/>
        </w:rPr>
      </w:pPr>
      <w:r>
        <w:rPr>
          <w:rFonts w:hint="eastAsia" w:ascii="楷体" w:hAnsi="楷体" w:eastAsia="楷体" w:cs="楷体"/>
          <w:i w:val="0"/>
          <w:iCs w:val="0"/>
          <w:caps w:val="0"/>
          <w:color w:val="auto"/>
          <w:spacing w:val="0"/>
          <w:sz w:val="18"/>
          <w:szCs w:val="18"/>
          <w:shd w:val="clear" w:fill="FFFFFF"/>
        </w:rPr>
        <w:t>（四）加大节能监察力度。</w:t>
      </w:r>
      <w:r>
        <w:rPr>
          <w:rFonts w:hint="eastAsia" w:ascii="宋体" w:hAnsi="宋体" w:eastAsia="宋体" w:cs="宋体"/>
          <w:i w:val="0"/>
          <w:iCs w:val="0"/>
          <w:caps w:val="0"/>
          <w:color w:val="auto"/>
          <w:spacing w:val="0"/>
          <w:sz w:val="18"/>
          <w:szCs w:val="18"/>
          <w:shd w:val="clear" w:fill="FFFFFF"/>
        </w:rPr>
        <w:t>加快健全省、市、县三级节能监察体系，统筹运用综合行政执法、市场监管执法、特种设备监察、信用管理等手段，加强节能法律法规政策标准执行情况监督检查。到2024年底，各地区完成60%以上重点用能单位节能监察；到2025年底，实现重点用能单位节能监察全覆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18"/>
          <w:szCs w:val="18"/>
        </w:rPr>
      </w:pPr>
      <w:r>
        <w:rPr>
          <w:rFonts w:hint="eastAsia" w:ascii="楷体" w:hAnsi="楷体" w:eastAsia="楷体" w:cs="楷体"/>
          <w:i w:val="0"/>
          <w:iCs w:val="0"/>
          <w:caps w:val="0"/>
          <w:color w:val="auto"/>
          <w:spacing w:val="0"/>
          <w:sz w:val="18"/>
          <w:szCs w:val="18"/>
          <w:shd w:val="clear" w:fill="FFFFFF"/>
        </w:rPr>
        <w:t>（五）加强能源消费和碳排放统计核算。</w:t>
      </w:r>
      <w:r>
        <w:rPr>
          <w:rFonts w:hint="eastAsia" w:ascii="宋体" w:hAnsi="宋体" w:eastAsia="宋体" w:cs="宋体"/>
          <w:i w:val="0"/>
          <w:iCs w:val="0"/>
          <w:caps w:val="0"/>
          <w:color w:val="auto"/>
          <w:spacing w:val="0"/>
          <w:sz w:val="18"/>
          <w:szCs w:val="18"/>
          <w:shd w:val="clear" w:fill="FFFFFF"/>
        </w:rPr>
        <w:t>建立与节能降碳目标管理相适应的能耗和碳排放统计快报制度，提高数据准确性和时效性。夯实化石能源、非化石能源、原料用能等统计核算基础。积极开展以电力、碳市场数据为基础的能源消费和碳排放监测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18"/>
          <w:szCs w:val="18"/>
        </w:rPr>
      </w:pPr>
      <w:r>
        <w:rPr>
          <w:rStyle w:val="5"/>
          <w:rFonts w:hint="eastAsia" w:ascii="宋体" w:hAnsi="宋体" w:eastAsia="宋体" w:cs="宋体"/>
          <w:i w:val="0"/>
          <w:iCs w:val="0"/>
          <w:caps w:val="0"/>
          <w:color w:val="auto"/>
          <w:spacing w:val="0"/>
          <w:sz w:val="18"/>
          <w:szCs w:val="18"/>
          <w:shd w:val="clear" w:fill="FFFFFF"/>
        </w:rPr>
        <w:t>四、支撑保障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18"/>
          <w:szCs w:val="18"/>
        </w:rPr>
      </w:pPr>
      <w:r>
        <w:rPr>
          <w:rFonts w:hint="eastAsia" w:ascii="楷体" w:hAnsi="楷体" w:eastAsia="楷体" w:cs="楷体"/>
          <w:i w:val="0"/>
          <w:iCs w:val="0"/>
          <w:caps w:val="0"/>
          <w:color w:val="auto"/>
          <w:spacing w:val="0"/>
          <w:sz w:val="18"/>
          <w:szCs w:val="18"/>
          <w:shd w:val="clear" w:fill="FFFFFF"/>
        </w:rPr>
        <w:t>（一）健全制度标准。</w:t>
      </w:r>
      <w:r>
        <w:rPr>
          <w:rFonts w:hint="eastAsia" w:ascii="宋体" w:hAnsi="宋体" w:eastAsia="宋体" w:cs="宋体"/>
          <w:i w:val="0"/>
          <w:iCs w:val="0"/>
          <w:caps w:val="0"/>
          <w:color w:val="auto"/>
          <w:spacing w:val="0"/>
          <w:sz w:val="18"/>
          <w:szCs w:val="18"/>
          <w:shd w:val="clear" w:fill="FFFFFF"/>
        </w:rPr>
        <w:t>推动修订节约能源法，适时完善固定资产投资项目节能审查办法、重点用能单位节能管理办法、节能监察办法等制度，强化激励约束，实施能源消费全链条管理。完善全国碳市场法规体系。结合推动大规模设备更新和消费品以旧换新，对标国内国际先进水平，加快强制性节能标准制修订，扩大标准覆盖范围。按照相关行业和产品设备能效前5%、前20%、前80%水平，设置节能标准1级、2级、3级（或5级）指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18"/>
          <w:szCs w:val="18"/>
        </w:rPr>
      </w:pPr>
      <w:r>
        <w:rPr>
          <w:rFonts w:hint="eastAsia" w:ascii="楷体" w:hAnsi="楷体" w:eastAsia="楷体" w:cs="楷体"/>
          <w:i w:val="0"/>
          <w:iCs w:val="0"/>
          <w:caps w:val="0"/>
          <w:color w:val="auto"/>
          <w:spacing w:val="0"/>
          <w:sz w:val="18"/>
          <w:szCs w:val="18"/>
          <w:shd w:val="clear" w:fill="FFFFFF"/>
        </w:rPr>
        <w:t>（二）完善价格政策。</w:t>
      </w:r>
      <w:r>
        <w:rPr>
          <w:rFonts w:hint="eastAsia" w:ascii="宋体" w:hAnsi="宋体" w:eastAsia="宋体" w:cs="宋体"/>
          <w:i w:val="0"/>
          <w:iCs w:val="0"/>
          <w:caps w:val="0"/>
          <w:color w:val="auto"/>
          <w:spacing w:val="0"/>
          <w:sz w:val="18"/>
          <w:szCs w:val="18"/>
          <w:shd w:val="clear" w:fill="FFFFFF"/>
        </w:rPr>
        <w:t>落实煤电容量电价，深化新能源上网电价市场化改革，研究完善储能价格机制。严禁对高耗能行业实施电价优惠。强化价格政策与产业政策、环保政策的协同，综合考虑能耗、环保绩效水平，完善高耗能行业阶梯电价制度。深化供热计量收费改革，有序推行两部制热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18"/>
          <w:szCs w:val="18"/>
        </w:rPr>
      </w:pPr>
      <w:r>
        <w:rPr>
          <w:rFonts w:hint="eastAsia" w:ascii="楷体" w:hAnsi="楷体" w:eastAsia="楷体" w:cs="楷体"/>
          <w:i w:val="0"/>
          <w:iCs w:val="0"/>
          <w:caps w:val="0"/>
          <w:color w:val="auto"/>
          <w:spacing w:val="0"/>
          <w:sz w:val="18"/>
          <w:szCs w:val="18"/>
          <w:shd w:val="clear" w:fill="FFFFFF"/>
        </w:rPr>
        <w:t>（三）加强资金支持。</w:t>
      </w:r>
      <w:r>
        <w:rPr>
          <w:rFonts w:hint="eastAsia" w:ascii="宋体" w:hAnsi="宋体" w:eastAsia="宋体" w:cs="宋体"/>
          <w:i w:val="0"/>
          <w:iCs w:val="0"/>
          <w:caps w:val="0"/>
          <w:color w:val="auto"/>
          <w:spacing w:val="0"/>
          <w:sz w:val="18"/>
          <w:szCs w:val="18"/>
          <w:shd w:val="clear" w:fill="FFFFFF"/>
        </w:rPr>
        <w:t>发挥政府投资带动放大效应，积极支持节能降碳改造和用能设备更新，推动扩大有效投资。鼓励各地区通过现有资金渠道，支持节能降碳改造、用能设备更新、能源和碳排放统计核算能力提升。落实好有利于节能降碳的财税政策。发挥绿色金融作用，引导金融机构按照市场化法治化原则为节能降碳项目提供资金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18"/>
          <w:szCs w:val="18"/>
        </w:rPr>
      </w:pPr>
      <w:r>
        <w:rPr>
          <w:rFonts w:hint="eastAsia" w:ascii="楷体" w:hAnsi="楷体" w:eastAsia="楷体" w:cs="楷体"/>
          <w:i w:val="0"/>
          <w:iCs w:val="0"/>
          <w:caps w:val="0"/>
          <w:color w:val="auto"/>
          <w:spacing w:val="0"/>
          <w:sz w:val="18"/>
          <w:szCs w:val="18"/>
          <w:shd w:val="clear" w:fill="FFFFFF"/>
        </w:rPr>
        <w:t>（四）强化科技引领。</w:t>
      </w:r>
      <w:r>
        <w:rPr>
          <w:rFonts w:hint="eastAsia" w:ascii="宋体" w:hAnsi="宋体" w:eastAsia="宋体" w:cs="宋体"/>
          <w:i w:val="0"/>
          <w:iCs w:val="0"/>
          <w:caps w:val="0"/>
          <w:color w:val="auto"/>
          <w:spacing w:val="0"/>
          <w:sz w:val="18"/>
          <w:szCs w:val="18"/>
          <w:shd w:val="clear" w:fill="FFFFFF"/>
        </w:rPr>
        <w:t>充分发挥国家重大科技专项作用，集中攻关一批节能降碳关键共性技术。扎实推进绿色低碳先进技术示范工程建设。修订发布绿色技术推广目录，倡导最佳节能技术和最佳节能实践。积极培育重点用能产品设备、重点行业企业和公共机构能效“领跑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18"/>
          <w:szCs w:val="18"/>
        </w:rPr>
      </w:pPr>
      <w:r>
        <w:rPr>
          <w:rFonts w:hint="eastAsia" w:ascii="楷体" w:hAnsi="楷体" w:eastAsia="楷体" w:cs="楷体"/>
          <w:i w:val="0"/>
          <w:iCs w:val="0"/>
          <w:caps w:val="0"/>
          <w:color w:val="auto"/>
          <w:spacing w:val="0"/>
          <w:sz w:val="18"/>
          <w:szCs w:val="18"/>
          <w:shd w:val="clear" w:fill="FFFFFF"/>
        </w:rPr>
        <w:t>（五）健全市场化机制。</w:t>
      </w:r>
      <w:r>
        <w:rPr>
          <w:rFonts w:hint="eastAsia" w:ascii="宋体" w:hAnsi="宋体" w:eastAsia="宋体" w:cs="宋体"/>
          <w:i w:val="0"/>
          <w:iCs w:val="0"/>
          <w:caps w:val="0"/>
          <w:color w:val="auto"/>
          <w:spacing w:val="0"/>
          <w:sz w:val="18"/>
          <w:szCs w:val="18"/>
          <w:shd w:val="clear" w:fill="FFFFFF"/>
        </w:rPr>
        <w:t>积极推广节能咨询、诊断、设计、融资、改造、托管等“一站式”综合服务模式。推进用能权有偿使用和交易，支持有条件的地区开展用能权跨省交易。稳妥扩大全国碳排放权交易市场覆盖范围，逐步推行免费和有偿相结合的碳排放配额分配方式。对纳入全国碳排放权交易市场的重点排放单位实施碳排放配额管理。有序建设温室气体自愿减排交易市场，夯实数据质量监管机制。加快建设绿证交易市场，做好与碳市场衔接，扩大绿电消费规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18"/>
          <w:szCs w:val="18"/>
        </w:rPr>
      </w:pPr>
      <w:r>
        <w:rPr>
          <w:rFonts w:hint="eastAsia" w:ascii="楷体" w:hAnsi="楷体" w:eastAsia="楷体" w:cs="楷体"/>
          <w:i w:val="0"/>
          <w:iCs w:val="0"/>
          <w:caps w:val="0"/>
          <w:color w:val="auto"/>
          <w:spacing w:val="0"/>
          <w:sz w:val="18"/>
          <w:szCs w:val="18"/>
          <w:shd w:val="clear" w:fill="FFFFFF"/>
        </w:rPr>
        <w:t>（六）实施全民行动。</w:t>
      </w:r>
      <w:r>
        <w:rPr>
          <w:rFonts w:hint="eastAsia" w:ascii="宋体" w:hAnsi="宋体" w:eastAsia="宋体" w:cs="宋体"/>
          <w:i w:val="0"/>
          <w:iCs w:val="0"/>
          <w:caps w:val="0"/>
          <w:color w:val="auto"/>
          <w:spacing w:val="0"/>
          <w:sz w:val="18"/>
          <w:szCs w:val="18"/>
          <w:shd w:val="clear" w:fill="FFFFFF"/>
        </w:rPr>
        <w:t>结合全国生态日、全国节能宣传周、全国低碳日等活动，加大节能降碳宣传力度，倡导简约适度、绿色低碳的生活方式，增强全民节能降碳意识和能力。充分发挥媒体作用，完善公众参与制度，加大对能源浪费行为的曝光力度，营造人人、事事、时时参与节能降碳的新风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color w:val="auto"/>
          <w:sz w:val="28"/>
          <w:szCs w:val="28"/>
        </w:rPr>
      </w:pPr>
      <w:r>
        <w:rPr>
          <w:rFonts w:hint="eastAsia" w:ascii="宋体" w:hAnsi="宋体" w:eastAsia="宋体" w:cs="宋体"/>
          <w:i w:val="0"/>
          <w:iCs w:val="0"/>
          <w:caps w:val="0"/>
          <w:color w:val="auto"/>
          <w:spacing w:val="0"/>
          <w:sz w:val="18"/>
          <w:szCs w:val="18"/>
          <w:shd w:val="clear" w:fill="FFFFFF"/>
        </w:rPr>
        <w:t>各地区、各部门要在党中央集中统一领导下，锚定目标任务，加大攻坚力度，狠抓工作落实，坚持先立后破，稳妥把握工作节奏，在持续推动能效提升、排放降低的同时，着力保障高质量发展用能需求，尽最大努力完成“十四五”节能降碳约束性指标。国家发展改革委要加强统筹协调，做好工作调度，强化节能目标责任评价考核。生态环境部要加强“十四五”碳排放强度降低目标管理。各有关部门要按照职责分工细化举措，压实责任，推动各项任务落实落细。地方各级人民政府对本行政区域节能降碳工作负总责，主要负责同志是第一责任人，要细化落实方案，强化部署推进。重大事项及时按程序请示报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zZGZmZmUyMjNlN2M3ODFlZTJhMzEzNjFlMzg0MGUifQ=="/>
  </w:docVars>
  <w:rsids>
    <w:rsidRoot w:val="00000000"/>
    <w:rsid w:val="17732D56"/>
    <w:rsid w:val="1FBA5176"/>
    <w:rsid w:val="287E1436"/>
    <w:rsid w:val="35E548A3"/>
    <w:rsid w:val="53E01F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7056</Words>
  <Characters>7372</Characters>
  <Lines>0</Lines>
  <Paragraphs>0</Paragraphs>
  <TotalTime>0</TotalTime>
  <ScaleCrop>false</ScaleCrop>
  <LinksUpToDate>false</LinksUpToDate>
  <CharactersWithSpaces>7382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2024-07-17T08:32:00Z</dcterms:created>
  <dc:creator>Lenovo</dc:creator>
  <cp:lastModifiedBy>caro</cp:lastModifiedBy>
  <dcterms:modified xsi:type="dcterms:W3CDTF">2024-07-17T08:34:01Z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D8CFD4483BFF498F9D45580B50CBF7C4_12</vt:lpwstr>
  </property>
</Properties>
</file>