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265" w:rsidRPr="00615265" w:rsidRDefault="00615265" w:rsidP="00615265">
      <w:pPr>
        <w:widowControl/>
        <w:jc w:val="center"/>
        <w:rPr>
          <w:rFonts w:ascii="Arial" w:eastAsia="宋体" w:hAnsi="Arial" w:cs="Arial"/>
          <w:color w:val="565862"/>
          <w:kern w:val="0"/>
          <w:sz w:val="24"/>
          <w:szCs w:val="24"/>
        </w:rPr>
      </w:pPr>
      <w:r w:rsidRPr="00615265">
        <w:rPr>
          <w:rFonts w:ascii="Arial" w:eastAsia="宋体" w:hAnsi="Arial" w:cs="Arial"/>
          <w:b/>
          <w:bCs/>
          <w:color w:val="565862"/>
          <w:kern w:val="0"/>
          <w:sz w:val="36"/>
          <w:szCs w:val="36"/>
        </w:rPr>
        <w:t>国家发展改革委关于推动长江三角洲区域</w:t>
      </w:r>
    </w:p>
    <w:p w:rsidR="00615265" w:rsidRPr="00615265" w:rsidRDefault="00615265" w:rsidP="00615265">
      <w:pPr>
        <w:widowControl/>
        <w:jc w:val="center"/>
        <w:rPr>
          <w:rFonts w:ascii="Arial" w:eastAsia="宋体" w:hAnsi="Arial" w:cs="Arial"/>
          <w:color w:val="565862"/>
          <w:kern w:val="0"/>
          <w:sz w:val="24"/>
          <w:szCs w:val="24"/>
        </w:rPr>
      </w:pPr>
      <w:r w:rsidRPr="00615265">
        <w:rPr>
          <w:rFonts w:ascii="Arial" w:eastAsia="宋体" w:hAnsi="Arial" w:cs="Arial"/>
          <w:b/>
          <w:bCs/>
          <w:color w:val="565862"/>
          <w:kern w:val="0"/>
          <w:sz w:val="36"/>
          <w:szCs w:val="36"/>
        </w:rPr>
        <w:t>公共资源交易一体化发展的意见</w:t>
      </w:r>
    </w:p>
    <w:p w:rsidR="00E156D5" w:rsidRPr="00E156D5" w:rsidRDefault="00E156D5" w:rsidP="00E156D5">
      <w:pPr>
        <w:widowControl/>
        <w:jc w:val="center"/>
        <w:rPr>
          <w:rFonts w:ascii="Arial" w:eastAsia="宋体" w:hAnsi="Arial" w:cs="Arial"/>
          <w:color w:val="565862"/>
          <w:kern w:val="0"/>
          <w:sz w:val="24"/>
          <w:szCs w:val="24"/>
        </w:rPr>
      </w:pPr>
      <w:r w:rsidRPr="00E156D5">
        <w:rPr>
          <w:rFonts w:ascii="Arial" w:eastAsia="宋体" w:hAnsi="Arial" w:cs="Arial"/>
          <w:color w:val="565862"/>
          <w:kern w:val="0"/>
          <w:sz w:val="24"/>
          <w:szCs w:val="24"/>
        </w:rPr>
        <w:t>发改法规〔</w:t>
      </w:r>
      <w:r w:rsidRPr="00E156D5">
        <w:rPr>
          <w:rFonts w:ascii="Arial" w:eastAsia="宋体" w:hAnsi="Arial" w:cs="Arial"/>
          <w:color w:val="565862"/>
          <w:kern w:val="0"/>
          <w:sz w:val="24"/>
          <w:szCs w:val="24"/>
        </w:rPr>
        <w:t>2022</w:t>
      </w:r>
      <w:r w:rsidRPr="00E156D5">
        <w:rPr>
          <w:rFonts w:ascii="Arial" w:eastAsia="宋体" w:hAnsi="Arial" w:cs="Arial"/>
          <w:color w:val="565862"/>
          <w:kern w:val="0"/>
          <w:sz w:val="24"/>
          <w:szCs w:val="24"/>
        </w:rPr>
        <w:t>〕</w:t>
      </w:r>
      <w:r w:rsidRPr="00E156D5">
        <w:rPr>
          <w:rFonts w:ascii="Arial" w:eastAsia="宋体" w:hAnsi="Arial" w:cs="Arial"/>
          <w:color w:val="565862"/>
          <w:kern w:val="0"/>
          <w:sz w:val="24"/>
          <w:szCs w:val="24"/>
        </w:rPr>
        <w:t>355</w:t>
      </w:r>
      <w:r w:rsidRPr="00E156D5">
        <w:rPr>
          <w:rFonts w:ascii="Arial" w:eastAsia="宋体" w:hAnsi="Arial" w:cs="Arial"/>
          <w:color w:val="565862"/>
          <w:kern w:val="0"/>
          <w:sz w:val="24"/>
          <w:szCs w:val="24"/>
        </w:rPr>
        <w:t>号</w:t>
      </w:r>
    </w:p>
    <w:p w:rsidR="00E156D5" w:rsidRPr="00E156D5" w:rsidRDefault="00E156D5" w:rsidP="00E156D5">
      <w:pPr>
        <w:widowControl/>
        <w:jc w:val="center"/>
        <w:rPr>
          <w:rFonts w:ascii="Arial" w:eastAsia="宋体" w:hAnsi="Arial" w:cs="Arial"/>
          <w:color w:val="565862"/>
          <w:kern w:val="0"/>
          <w:sz w:val="24"/>
          <w:szCs w:val="24"/>
        </w:rPr>
      </w:pPr>
      <w:r w:rsidRPr="00E156D5">
        <w:rPr>
          <w:rFonts w:ascii="Arial" w:eastAsia="宋体" w:hAnsi="Arial" w:cs="Arial"/>
          <w:color w:val="565862"/>
          <w:kern w:val="0"/>
          <w:sz w:val="24"/>
          <w:szCs w:val="24"/>
        </w:rPr>
        <w:t> </w:t>
      </w:r>
    </w:p>
    <w:p w:rsidR="00E156D5" w:rsidRPr="00E156D5" w:rsidRDefault="00E156D5" w:rsidP="00E156D5">
      <w:pPr>
        <w:widowControl/>
        <w:rPr>
          <w:rFonts w:ascii="Arial" w:eastAsia="宋体" w:hAnsi="Arial" w:cs="Arial"/>
          <w:color w:val="565862"/>
          <w:kern w:val="0"/>
          <w:sz w:val="24"/>
          <w:szCs w:val="24"/>
        </w:rPr>
      </w:pPr>
      <w:r w:rsidRPr="00E156D5">
        <w:rPr>
          <w:rFonts w:ascii="宋体" w:eastAsia="宋体" w:hAnsi="宋体" w:cs="Arial" w:hint="eastAsia"/>
          <w:color w:val="565862"/>
          <w:kern w:val="0"/>
          <w:sz w:val="24"/>
          <w:szCs w:val="24"/>
        </w:rPr>
        <w:t>上海市、江苏省、浙江省、安徽省公共资源交易平台整合工作牵头部门、发展改革委：</w:t>
      </w:r>
      <w:r w:rsidRPr="00E156D5">
        <w:rPr>
          <w:rFonts w:ascii="Arial" w:eastAsia="宋体" w:hAnsi="Arial" w:cs="Arial"/>
          <w:color w:val="565862"/>
          <w:kern w:val="0"/>
          <w:sz w:val="24"/>
          <w:szCs w:val="24"/>
        </w:rPr>
        <w:br/>
      </w:r>
      <w:r w:rsidRPr="00E156D5">
        <w:rPr>
          <w:rFonts w:ascii="宋体" w:eastAsia="宋体" w:hAnsi="宋体" w:cs="Arial" w:hint="eastAsia"/>
          <w:color w:val="565862"/>
          <w:kern w:val="0"/>
          <w:sz w:val="24"/>
          <w:szCs w:val="24"/>
        </w:rPr>
        <w:t> </w:t>
      </w:r>
      <w:r w:rsidRPr="00E156D5">
        <w:rPr>
          <w:rFonts w:ascii="宋体" w:eastAsia="宋体" w:hAnsi="宋体" w:cs="Arial" w:hint="eastAsia"/>
          <w:color w:val="565862"/>
          <w:kern w:val="0"/>
          <w:sz w:val="24"/>
          <w:szCs w:val="24"/>
        </w:rPr>
        <w:t> </w:t>
      </w:r>
      <w:r w:rsidRPr="00E156D5">
        <w:rPr>
          <w:rFonts w:ascii="宋体" w:eastAsia="宋体" w:hAnsi="宋体" w:cs="Arial" w:hint="eastAsia"/>
          <w:color w:val="565862"/>
          <w:kern w:val="0"/>
          <w:sz w:val="24"/>
          <w:szCs w:val="24"/>
        </w:rPr>
        <w:t>长江三角洲（以下简称长三角）区域一体化发展战略，是引领全国高质量发展、打造我国发展强劲活跃增长极的重大战略举措。推动长三角三省一市公共资源交易一体化，是长三角区域一体化发展战略的重要组成部分，有利于进一步深入实施区域协调发展战略，充分发挥各地比较优势，促进各类要素合理流动和高效聚集；有利于提升区域公共资源交易平台整合共享水平，为全国范围改革积累有益经验；有利于进一步破除市场隐性门槛和行政壁垒，加快构建全国统一大市场。为深入落实《长江三角洲区域一体化发展规划纲要》（中发〔2019〕21号）、《关于深化公共资源交易平台整合共享指导意见》（国办函〔2019〕41号），推动长三角区域率先形成统一开放、竞争有序的公共资源交易市场，经推动长三角一体化发展领导小组办公室衔接审核，现提出以下意见。</w:t>
      </w:r>
      <w:r w:rsidRPr="00E156D5">
        <w:rPr>
          <w:rFonts w:ascii="Arial" w:eastAsia="宋体" w:hAnsi="Arial" w:cs="Arial"/>
          <w:color w:val="565862"/>
          <w:kern w:val="0"/>
          <w:sz w:val="24"/>
          <w:szCs w:val="24"/>
        </w:rPr>
        <w:br/>
      </w:r>
      <w:r w:rsidRPr="00E156D5">
        <w:rPr>
          <w:rFonts w:ascii="宋体" w:eastAsia="宋体" w:hAnsi="宋体" w:cs="Arial" w:hint="eastAsia"/>
          <w:color w:val="565862"/>
          <w:kern w:val="0"/>
          <w:sz w:val="24"/>
          <w:szCs w:val="24"/>
        </w:rPr>
        <w:t> </w:t>
      </w:r>
      <w:r w:rsidRPr="00E156D5">
        <w:rPr>
          <w:rFonts w:ascii="宋体" w:eastAsia="宋体" w:hAnsi="宋体" w:cs="Arial" w:hint="eastAsia"/>
          <w:color w:val="565862"/>
          <w:kern w:val="0"/>
          <w:sz w:val="24"/>
          <w:szCs w:val="24"/>
        </w:rPr>
        <w:t> </w:t>
      </w:r>
      <w:r w:rsidRPr="00E156D5">
        <w:rPr>
          <w:rFonts w:ascii="Arial" w:eastAsia="宋体" w:hAnsi="Arial" w:cs="Arial"/>
          <w:b/>
          <w:bCs/>
          <w:color w:val="565862"/>
          <w:kern w:val="0"/>
          <w:sz w:val="24"/>
          <w:szCs w:val="24"/>
        </w:rPr>
        <w:t>一、总体要求</w:t>
      </w:r>
      <w:r w:rsidRPr="00E156D5">
        <w:rPr>
          <w:rFonts w:ascii="Arial" w:eastAsia="宋体" w:hAnsi="Arial" w:cs="Arial"/>
          <w:color w:val="565862"/>
          <w:kern w:val="0"/>
          <w:sz w:val="24"/>
          <w:szCs w:val="24"/>
        </w:rPr>
        <w:br/>
      </w:r>
      <w:r w:rsidRPr="00E156D5">
        <w:rPr>
          <w:rFonts w:ascii="宋体" w:eastAsia="宋体" w:hAnsi="宋体" w:cs="Arial" w:hint="eastAsia"/>
          <w:color w:val="565862"/>
          <w:kern w:val="0"/>
          <w:sz w:val="24"/>
          <w:szCs w:val="24"/>
        </w:rPr>
        <w:t> </w:t>
      </w:r>
      <w:r w:rsidRPr="00E156D5">
        <w:rPr>
          <w:rFonts w:ascii="宋体" w:eastAsia="宋体" w:hAnsi="宋体" w:cs="Arial" w:hint="eastAsia"/>
          <w:color w:val="565862"/>
          <w:kern w:val="0"/>
          <w:sz w:val="24"/>
          <w:szCs w:val="24"/>
        </w:rPr>
        <w:t> </w:t>
      </w:r>
      <w:r w:rsidRPr="00E156D5">
        <w:rPr>
          <w:rFonts w:ascii="Arial" w:eastAsia="宋体" w:hAnsi="Arial" w:cs="Arial"/>
          <w:b/>
          <w:bCs/>
          <w:color w:val="565862"/>
          <w:kern w:val="0"/>
          <w:sz w:val="24"/>
          <w:szCs w:val="24"/>
        </w:rPr>
        <w:t>（一）指导思想。</w:t>
      </w:r>
      <w:r w:rsidRPr="00E156D5">
        <w:rPr>
          <w:rFonts w:ascii="宋体" w:eastAsia="宋体" w:hAnsi="宋体" w:cs="Arial" w:hint="eastAsia"/>
          <w:color w:val="565862"/>
          <w:kern w:val="0"/>
          <w:sz w:val="24"/>
          <w:szCs w:val="24"/>
        </w:rPr>
        <w:t>以习近平新时代中国特色社会主义思想为指导，全面贯彻党的十九大和十九届历次全会精神，弘扬伟大建党精神，立足新发展阶段，完整、准确、全面贯彻新发展理念，构建新发展格局，以推动高质量发展为主题，着眼加快构建公共资源交易全国统一大市场，坚持区域协同与属地管理相结合，持续激发改革内生动力，深化公共资源交易平台整合，努力在长三角区域建成信息深度共享、市场充分开放、竞争公平有序的公共资源交易市场体系，有力支持和服务长三角区域一体化高质量发展。</w:t>
      </w:r>
      <w:r w:rsidRPr="00E156D5">
        <w:rPr>
          <w:rFonts w:ascii="Arial" w:eastAsia="宋体" w:hAnsi="Arial" w:cs="Arial"/>
          <w:color w:val="565862"/>
          <w:kern w:val="0"/>
          <w:sz w:val="24"/>
          <w:szCs w:val="24"/>
        </w:rPr>
        <w:br/>
      </w:r>
      <w:r w:rsidRPr="00E156D5">
        <w:rPr>
          <w:rFonts w:ascii="宋体" w:eastAsia="宋体" w:hAnsi="宋体" w:cs="Arial" w:hint="eastAsia"/>
          <w:color w:val="565862"/>
          <w:kern w:val="0"/>
          <w:sz w:val="24"/>
          <w:szCs w:val="24"/>
        </w:rPr>
        <w:t> </w:t>
      </w:r>
      <w:r w:rsidRPr="00E156D5">
        <w:rPr>
          <w:rFonts w:ascii="宋体" w:eastAsia="宋体" w:hAnsi="宋体" w:cs="Arial" w:hint="eastAsia"/>
          <w:color w:val="565862"/>
          <w:kern w:val="0"/>
          <w:sz w:val="24"/>
          <w:szCs w:val="24"/>
        </w:rPr>
        <w:t> </w:t>
      </w:r>
      <w:r w:rsidRPr="00E156D5">
        <w:rPr>
          <w:rFonts w:ascii="Arial" w:eastAsia="宋体" w:hAnsi="Arial" w:cs="Arial"/>
          <w:b/>
          <w:bCs/>
          <w:color w:val="565862"/>
          <w:kern w:val="0"/>
          <w:sz w:val="24"/>
          <w:szCs w:val="24"/>
        </w:rPr>
        <w:t>（二）基本原则</w:t>
      </w:r>
      <w:r w:rsidRPr="00E156D5">
        <w:rPr>
          <w:rFonts w:ascii="Arial" w:eastAsia="宋体" w:hAnsi="Arial" w:cs="Arial"/>
          <w:color w:val="565862"/>
          <w:kern w:val="0"/>
          <w:sz w:val="24"/>
          <w:szCs w:val="24"/>
        </w:rPr>
        <w:br/>
      </w:r>
      <w:r w:rsidRPr="00E156D5">
        <w:rPr>
          <w:rFonts w:ascii="宋体" w:eastAsia="宋体" w:hAnsi="宋体" w:cs="Arial" w:hint="eastAsia"/>
          <w:color w:val="565862"/>
          <w:kern w:val="0"/>
          <w:sz w:val="24"/>
          <w:szCs w:val="24"/>
        </w:rPr>
        <w:t> </w:t>
      </w:r>
      <w:r w:rsidRPr="00E156D5">
        <w:rPr>
          <w:rFonts w:ascii="宋体" w:eastAsia="宋体" w:hAnsi="宋体" w:cs="Arial" w:hint="eastAsia"/>
          <w:color w:val="565862"/>
          <w:kern w:val="0"/>
          <w:sz w:val="24"/>
          <w:szCs w:val="24"/>
        </w:rPr>
        <w:t> </w:t>
      </w:r>
      <w:r w:rsidRPr="00E156D5">
        <w:rPr>
          <w:rFonts w:ascii="Arial" w:eastAsia="宋体" w:hAnsi="Arial" w:cs="Arial"/>
          <w:b/>
          <w:bCs/>
          <w:color w:val="565862"/>
          <w:kern w:val="0"/>
          <w:sz w:val="24"/>
          <w:szCs w:val="24"/>
        </w:rPr>
        <w:t>坚持统一规范。</w:t>
      </w:r>
      <w:r w:rsidRPr="00E156D5">
        <w:rPr>
          <w:rFonts w:ascii="宋体" w:eastAsia="宋体" w:hAnsi="宋体" w:cs="Arial" w:hint="eastAsia"/>
          <w:color w:val="565862"/>
          <w:kern w:val="0"/>
          <w:sz w:val="24"/>
          <w:szCs w:val="24"/>
        </w:rPr>
        <w:t>按照分类统一的交易制度规则、技术标准和数据规范，推进长三角区域公共资源交易规则、服务事项、平台数据等方面标准化、规范化建设。在依法实施监管的前提下，积极拓展跨地区、跨层级自主选择平台的交易事项范围，实现区域公共资源交易集约化发展。</w:t>
      </w:r>
      <w:r w:rsidRPr="00E156D5">
        <w:rPr>
          <w:rFonts w:ascii="Arial" w:eastAsia="宋体" w:hAnsi="Arial" w:cs="Arial"/>
          <w:color w:val="565862"/>
          <w:kern w:val="0"/>
          <w:sz w:val="24"/>
          <w:szCs w:val="24"/>
        </w:rPr>
        <w:br/>
      </w:r>
      <w:r w:rsidRPr="00E156D5">
        <w:rPr>
          <w:rFonts w:ascii="宋体" w:eastAsia="宋体" w:hAnsi="宋体" w:cs="Arial" w:hint="eastAsia"/>
          <w:color w:val="565862"/>
          <w:kern w:val="0"/>
          <w:sz w:val="24"/>
          <w:szCs w:val="24"/>
        </w:rPr>
        <w:t> </w:t>
      </w:r>
      <w:r w:rsidRPr="00E156D5">
        <w:rPr>
          <w:rFonts w:ascii="Arial" w:eastAsia="宋体" w:hAnsi="Arial" w:cs="Arial"/>
          <w:b/>
          <w:bCs/>
          <w:color w:val="565862"/>
          <w:kern w:val="0"/>
          <w:sz w:val="24"/>
          <w:szCs w:val="24"/>
        </w:rPr>
        <w:t> </w:t>
      </w:r>
      <w:r w:rsidRPr="00E156D5">
        <w:rPr>
          <w:rFonts w:ascii="Arial" w:eastAsia="宋体" w:hAnsi="Arial" w:cs="Arial"/>
          <w:b/>
          <w:bCs/>
          <w:color w:val="565862"/>
          <w:kern w:val="0"/>
          <w:sz w:val="24"/>
          <w:szCs w:val="24"/>
        </w:rPr>
        <w:t>坚持协同共享。</w:t>
      </w:r>
      <w:r w:rsidRPr="00E156D5">
        <w:rPr>
          <w:rFonts w:ascii="宋体" w:eastAsia="宋体" w:hAnsi="宋体" w:cs="Arial" w:hint="eastAsia"/>
          <w:color w:val="565862"/>
          <w:kern w:val="0"/>
          <w:sz w:val="24"/>
          <w:szCs w:val="24"/>
        </w:rPr>
        <w:t>加强区域公共资源交易管理的政策协调性和执行协同性，推动区域内各级公共资源交易平台深度互联互通，实现各类信息资源充分共享互认，以信息流带动人流、物流、资金流等要素资源有序流动，实现公共资源交易平台从依托有形场所向以电子化平台为主转变，提升交易服务水平和监管水平。</w:t>
      </w:r>
      <w:r w:rsidRPr="00E156D5">
        <w:rPr>
          <w:rFonts w:ascii="Arial" w:eastAsia="宋体" w:hAnsi="Arial" w:cs="Arial"/>
          <w:color w:val="565862"/>
          <w:kern w:val="0"/>
          <w:sz w:val="24"/>
          <w:szCs w:val="24"/>
        </w:rPr>
        <w:br/>
      </w:r>
      <w:r w:rsidRPr="00E156D5">
        <w:rPr>
          <w:rFonts w:ascii="宋体" w:eastAsia="宋体" w:hAnsi="宋体" w:cs="Arial" w:hint="eastAsia"/>
          <w:color w:val="565862"/>
          <w:kern w:val="0"/>
          <w:sz w:val="24"/>
          <w:szCs w:val="24"/>
        </w:rPr>
        <w:t> </w:t>
      </w:r>
      <w:r w:rsidRPr="00E156D5">
        <w:rPr>
          <w:rFonts w:ascii="宋体" w:eastAsia="宋体" w:hAnsi="宋体" w:cs="Arial" w:hint="eastAsia"/>
          <w:color w:val="565862"/>
          <w:kern w:val="0"/>
          <w:sz w:val="24"/>
          <w:szCs w:val="24"/>
        </w:rPr>
        <w:t> </w:t>
      </w:r>
      <w:r w:rsidRPr="00E156D5">
        <w:rPr>
          <w:rFonts w:ascii="Arial" w:eastAsia="宋体" w:hAnsi="Arial" w:cs="Arial"/>
          <w:b/>
          <w:bCs/>
          <w:color w:val="565862"/>
          <w:kern w:val="0"/>
          <w:sz w:val="24"/>
          <w:szCs w:val="24"/>
        </w:rPr>
        <w:t>坚持便民高效。</w:t>
      </w:r>
      <w:r w:rsidRPr="00E156D5">
        <w:rPr>
          <w:rFonts w:ascii="宋体" w:eastAsia="宋体" w:hAnsi="宋体" w:cs="Arial" w:hint="eastAsia"/>
          <w:color w:val="565862"/>
          <w:kern w:val="0"/>
          <w:sz w:val="24"/>
          <w:szCs w:val="24"/>
        </w:rPr>
        <w:t>深化“放管服”改革，推动公共资源交易及相关领域审批和服务流程优化再造，大力推进“跨省通办”、“省内通办”，着力提高在线办理率和全程网办率，降低异地投标等跨区域交易成本。着力破除对外地企业设置的隐性门槛和壁垒，提高公共资源配置效率和效益。</w:t>
      </w:r>
      <w:r w:rsidRPr="00E156D5">
        <w:rPr>
          <w:rFonts w:ascii="Arial" w:eastAsia="宋体" w:hAnsi="Arial" w:cs="Arial"/>
          <w:color w:val="565862"/>
          <w:kern w:val="0"/>
          <w:sz w:val="24"/>
          <w:szCs w:val="24"/>
        </w:rPr>
        <w:br/>
      </w:r>
      <w:r w:rsidRPr="00E156D5">
        <w:rPr>
          <w:rFonts w:ascii="宋体" w:eastAsia="宋体" w:hAnsi="宋体" w:cs="Arial" w:hint="eastAsia"/>
          <w:color w:val="565862"/>
          <w:kern w:val="0"/>
          <w:sz w:val="24"/>
          <w:szCs w:val="24"/>
        </w:rPr>
        <w:t> </w:t>
      </w:r>
      <w:r w:rsidRPr="00E156D5">
        <w:rPr>
          <w:rFonts w:ascii="宋体" w:eastAsia="宋体" w:hAnsi="宋体" w:cs="Arial" w:hint="eastAsia"/>
          <w:color w:val="565862"/>
          <w:kern w:val="0"/>
          <w:sz w:val="24"/>
          <w:szCs w:val="24"/>
        </w:rPr>
        <w:t> </w:t>
      </w:r>
      <w:r w:rsidRPr="00E156D5">
        <w:rPr>
          <w:rFonts w:ascii="Arial" w:eastAsia="宋体" w:hAnsi="Arial" w:cs="Arial"/>
          <w:b/>
          <w:bCs/>
          <w:color w:val="565862"/>
          <w:kern w:val="0"/>
          <w:sz w:val="24"/>
          <w:szCs w:val="24"/>
        </w:rPr>
        <w:t>坚持改革创新。</w:t>
      </w:r>
      <w:r w:rsidRPr="00E156D5">
        <w:rPr>
          <w:rFonts w:ascii="宋体" w:eastAsia="宋体" w:hAnsi="宋体" w:cs="Arial" w:hint="eastAsia"/>
          <w:color w:val="565862"/>
          <w:kern w:val="0"/>
          <w:sz w:val="24"/>
          <w:szCs w:val="24"/>
        </w:rPr>
        <w:t>聚焦制约公共资源交易一体化发展的深层次矛盾和问题，持续深化平台整合共享改革，加强改革系统集成，注重各领域、各地方协调推进。鼓励有条件的地市先行先试，加快体制机制创新和技术创新，加强典型示范引领，形成优势互补、各具特色的协调发展格局。</w:t>
      </w:r>
      <w:r w:rsidRPr="00E156D5">
        <w:rPr>
          <w:rFonts w:ascii="Arial" w:eastAsia="宋体" w:hAnsi="Arial" w:cs="Arial"/>
          <w:color w:val="565862"/>
          <w:kern w:val="0"/>
          <w:sz w:val="24"/>
          <w:szCs w:val="24"/>
        </w:rPr>
        <w:br/>
      </w:r>
      <w:r w:rsidRPr="00E156D5">
        <w:rPr>
          <w:rFonts w:ascii="宋体" w:eastAsia="宋体" w:hAnsi="宋体" w:cs="Arial" w:hint="eastAsia"/>
          <w:color w:val="565862"/>
          <w:kern w:val="0"/>
          <w:sz w:val="24"/>
          <w:szCs w:val="24"/>
        </w:rPr>
        <w:t> </w:t>
      </w:r>
      <w:r w:rsidRPr="00E156D5">
        <w:rPr>
          <w:rFonts w:ascii="Arial" w:eastAsia="宋体" w:hAnsi="Arial" w:cs="Arial"/>
          <w:b/>
          <w:bCs/>
          <w:color w:val="565862"/>
          <w:kern w:val="0"/>
          <w:sz w:val="24"/>
          <w:szCs w:val="24"/>
        </w:rPr>
        <w:t> </w:t>
      </w:r>
      <w:r w:rsidRPr="00E156D5">
        <w:rPr>
          <w:rFonts w:ascii="Arial" w:eastAsia="宋体" w:hAnsi="Arial" w:cs="Arial"/>
          <w:b/>
          <w:bCs/>
          <w:color w:val="565862"/>
          <w:kern w:val="0"/>
          <w:sz w:val="24"/>
          <w:szCs w:val="24"/>
        </w:rPr>
        <w:t>（三）工作目标</w:t>
      </w:r>
      <w:r w:rsidRPr="00E156D5">
        <w:rPr>
          <w:rFonts w:ascii="Arial" w:eastAsia="宋体" w:hAnsi="Arial" w:cs="Arial"/>
          <w:color w:val="565862"/>
          <w:kern w:val="0"/>
          <w:sz w:val="24"/>
          <w:szCs w:val="24"/>
        </w:rPr>
        <w:br/>
      </w:r>
      <w:r w:rsidRPr="00E156D5">
        <w:rPr>
          <w:rFonts w:ascii="宋体" w:eastAsia="宋体" w:hAnsi="宋体" w:cs="Arial" w:hint="eastAsia"/>
          <w:color w:val="565862"/>
          <w:kern w:val="0"/>
          <w:sz w:val="24"/>
          <w:szCs w:val="24"/>
        </w:rPr>
        <w:lastRenderedPageBreak/>
        <w:t> </w:t>
      </w:r>
      <w:r w:rsidRPr="00E156D5">
        <w:rPr>
          <w:rFonts w:ascii="宋体" w:eastAsia="宋体" w:hAnsi="宋体" w:cs="Arial" w:hint="eastAsia"/>
          <w:color w:val="565862"/>
          <w:kern w:val="0"/>
          <w:sz w:val="24"/>
          <w:szCs w:val="24"/>
        </w:rPr>
        <w:t> </w:t>
      </w:r>
      <w:r w:rsidRPr="00E156D5">
        <w:rPr>
          <w:rFonts w:ascii="宋体" w:eastAsia="宋体" w:hAnsi="宋体" w:cs="Arial" w:hint="eastAsia"/>
          <w:color w:val="565862"/>
          <w:kern w:val="0"/>
          <w:sz w:val="24"/>
          <w:szCs w:val="24"/>
        </w:rPr>
        <w:t>到2023年底，长三角区域公共资源交易一体化发展取得实质性进展，各级公共资源交易平台互联互通进一步深化，交易信息、市场主体信息和专家资源实现区域内统一共享，参与跨省远程异地评标和CA数字证书互认的城市达20个以上，跨区域交易便利水平明显提高，制度性交易成本明显降低，政策协调和监管协同机制基本建立，信用监管、智慧监管落地见效，积累形成一批可复制推广的区域一体化发展典型经验。</w:t>
      </w:r>
      <w:r w:rsidRPr="00E156D5">
        <w:rPr>
          <w:rFonts w:ascii="Arial" w:eastAsia="宋体" w:hAnsi="Arial" w:cs="Arial"/>
          <w:color w:val="565862"/>
          <w:kern w:val="0"/>
          <w:sz w:val="24"/>
          <w:szCs w:val="24"/>
        </w:rPr>
        <w:br/>
      </w:r>
      <w:r w:rsidRPr="00E156D5">
        <w:rPr>
          <w:rFonts w:ascii="宋体" w:eastAsia="宋体" w:hAnsi="宋体" w:cs="Arial" w:hint="eastAsia"/>
          <w:color w:val="565862"/>
          <w:kern w:val="0"/>
          <w:sz w:val="24"/>
          <w:szCs w:val="24"/>
        </w:rPr>
        <w:t> </w:t>
      </w:r>
      <w:r w:rsidRPr="00E156D5">
        <w:rPr>
          <w:rFonts w:ascii="宋体" w:eastAsia="宋体" w:hAnsi="宋体" w:cs="Arial" w:hint="eastAsia"/>
          <w:color w:val="565862"/>
          <w:kern w:val="0"/>
          <w:sz w:val="24"/>
          <w:szCs w:val="24"/>
        </w:rPr>
        <w:t> </w:t>
      </w:r>
      <w:r w:rsidRPr="00E156D5">
        <w:rPr>
          <w:rFonts w:ascii="宋体" w:eastAsia="宋体" w:hAnsi="宋体" w:cs="Arial" w:hint="eastAsia"/>
          <w:color w:val="565862"/>
          <w:kern w:val="0"/>
          <w:sz w:val="24"/>
          <w:szCs w:val="24"/>
        </w:rPr>
        <w:t>到2025年，长三角区域一体化的公共资源交易市场基本形成，跨省远程异地评标常态化实施，CA数字证书实现全国互认，布局合理、分工明确、优势互补的公共资源交易平台体系更加健全，跨区域交易更加活跃，长三角区域公共资源交易一体化发展对其他地区的示范带动作用明显发挥。</w:t>
      </w:r>
      <w:r w:rsidRPr="00E156D5">
        <w:rPr>
          <w:rFonts w:ascii="Arial" w:eastAsia="宋体" w:hAnsi="Arial" w:cs="Arial"/>
          <w:color w:val="565862"/>
          <w:kern w:val="0"/>
          <w:sz w:val="24"/>
          <w:szCs w:val="24"/>
        </w:rPr>
        <w:br/>
      </w:r>
      <w:r w:rsidRPr="00E156D5">
        <w:rPr>
          <w:rFonts w:ascii="宋体" w:eastAsia="宋体" w:hAnsi="宋体" w:cs="Arial" w:hint="eastAsia"/>
          <w:color w:val="565862"/>
          <w:kern w:val="0"/>
          <w:sz w:val="24"/>
          <w:szCs w:val="24"/>
        </w:rPr>
        <w:t> </w:t>
      </w:r>
      <w:r w:rsidRPr="00E156D5">
        <w:rPr>
          <w:rFonts w:ascii="宋体" w:eastAsia="宋体" w:hAnsi="宋体" w:cs="Arial" w:hint="eastAsia"/>
          <w:color w:val="565862"/>
          <w:kern w:val="0"/>
          <w:sz w:val="24"/>
          <w:szCs w:val="24"/>
        </w:rPr>
        <w:t> </w:t>
      </w:r>
      <w:r w:rsidRPr="00E156D5">
        <w:rPr>
          <w:rFonts w:ascii="Arial" w:eastAsia="宋体" w:hAnsi="Arial" w:cs="Arial"/>
          <w:b/>
          <w:bCs/>
          <w:color w:val="565862"/>
          <w:kern w:val="0"/>
          <w:sz w:val="24"/>
          <w:szCs w:val="24"/>
        </w:rPr>
        <w:t>二、重点任务</w:t>
      </w:r>
      <w:r w:rsidRPr="00E156D5">
        <w:rPr>
          <w:rFonts w:ascii="Arial" w:eastAsia="宋体" w:hAnsi="Arial" w:cs="Arial"/>
          <w:color w:val="565862"/>
          <w:kern w:val="0"/>
          <w:sz w:val="24"/>
          <w:szCs w:val="24"/>
        </w:rPr>
        <w:br/>
      </w:r>
      <w:r w:rsidRPr="00E156D5">
        <w:rPr>
          <w:rFonts w:ascii="宋体" w:eastAsia="宋体" w:hAnsi="宋体" w:cs="Arial" w:hint="eastAsia"/>
          <w:color w:val="565862"/>
          <w:kern w:val="0"/>
          <w:sz w:val="24"/>
          <w:szCs w:val="24"/>
        </w:rPr>
        <w:t> </w:t>
      </w:r>
      <w:r w:rsidRPr="00E156D5">
        <w:rPr>
          <w:rFonts w:ascii="宋体" w:eastAsia="宋体" w:hAnsi="宋体" w:cs="Arial" w:hint="eastAsia"/>
          <w:color w:val="565862"/>
          <w:kern w:val="0"/>
          <w:sz w:val="24"/>
          <w:szCs w:val="24"/>
        </w:rPr>
        <w:t> </w:t>
      </w:r>
      <w:r w:rsidRPr="00E156D5">
        <w:rPr>
          <w:rFonts w:ascii="Arial" w:eastAsia="宋体" w:hAnsi="Arial" w:cs="Arial"/>
          <w:b/>
          <w:bCs/>
          <w:color w:val="565862"/>
          <w:kern w:val="0"/>
          <w:sz w:val="24"/>
          <w:szCs w:val="24"/>
        </w:rPr>
        <w:t>（四）推动制度标准规范统一。</w:t>
      </w:r>
      <w:r w:rsidRPr="00E156D5">
        <w:rPr>
          <w:rFonts w:ascii="宋体" w:eastAsia="宋体" w:hAnsi="宋体" w:cs="Arial" w:hint="eastAsia"/>
          <w:color w:val="565862"/>
          <w:kern w:val="0"/>
          <w:sz w:val="24"/>
          <w:szCs w:val="24"/>
        </w:rPr>
        <w:t>落实全国分类统一的交易规则，建立地方性公共资源交易法规政策文件制定协调机制，定期联合开展制度规则清理，确保区域内配套实施细则统一。推动招标采购等交易文件标准化、模板化，坚决取消要求设立办事机构（分公司）、要求特定行政区域或特定行业奖项、优先认可本地业绩等市场隐性壁垒。落实全国统一的交易平台建设技术标准、数据规范和公共资源交易服务标准，提升区域内各级公共资源交易平台的规范化水平。</w:t>
      </w:r>
      <w:r w:rsidRPr="00E156D5">
        <w:rPr>
          <w:rFonts w:ascii="Arial" w:eastAsia="宋体" w:hAnsi="Arial" w:cs="Arial"/>
          <w:color w:val="565862"/>
          <w:kern w:val="0"/>
          <w:sz w:val="24"/>
          <w:szCs w:val="24"/>
        </w:rPr>
        <w:br/>
      </w:r>
      <w:r w:rsidRPr="00E156D5">
        <w:rPr>
          <w:rFonts w:ascii="宋体" w:eastAsia="宋体" w:hAnsi="宋体" w:cs="Arial" w:hint="eastAsia"/>
          <w:color w:val="565862"/>
          <w:kern w:val="0"/>
          <w:sz w:val="24"/>
          <w:szCs w:val="24"/>
        </w:rPr>
        <w:t> </w:t>
      </w:r>
      <w:r w:rsidRPr="00E156D5">
        <w:rPr>
          <w:rFonts w:ascii="宋体" w:eastAsia="宋体" w:hAnsi="宋体" w:cs="Arial" w:hint="eastAsia"/>
          <w:color w:val="565862"/>
          <w:kern w:val="0"/>
          <w:sz w:val="24"/>
          <w:szCs w:val="24"/>
        </w:rPr>
        <w:t> </w:t>
      </w:r>
      <w:r w:rsidRPr="00E156D5">
        <w:rPr>
          <w:rFonts w:ascii="Arial" w:eastAsia="宋体" w:hAnsi="Arial" w:cs="Arial"/>
          <w:b/>
          <w:bCs/>
          <w:color w:val="565862"/>
          <w:kern w:val="0"/>
          <w:sz w:val="24"/>
          <w:szCs w:val="24"/>
        </w:rPr>
        <w:t>（五）强化交易信息互联共享。</w:t>
      </w:r>
      <w:r w:rsidRPr="00E156D5">
        <w:rPr>
          <w:rFonts w:ascii="宋体" w:eastAsia="宋体" w:hAnsi="宋体" w:cs="Arial" w:hint="eastAsia"/>
          <w:color w:val="565862"/>
          <w:kern w:val="0"/>
          <w:sz w:val="24"/>
          <w:szCs w:val="24"/>
        </w:rPr>
        <w:t>充分发挥省级公共资源交易平台电子服务系统枢纽作用，提供集法规政策发布、交易信息公开、交易进度查询于一体的一站式综合服务。建设运行长三角区域公共资源交易信息集中发布网站，促进各地交易平台互联互通和交易信息实时推送，实现区域公共资源交易信息“一网尽览”。大力推进排污权、用能权、产权等领域交易通过场地共用、数据共享、系统对接等多种方式整合纳入统一的公共资源交易平台体系。</w:t>
      </w:r>
      <w:r w:rsidRPr="00E156D5">
        <w:rPr>
          <w:rFonts w:ascii="Arial" w:eastAsia="宋体" w:hAnsi="Arial" w:cs="Arial"/>
          <w:color w:val="565862"/>
          <w:kern w:val="0"/>
          <w:sz w:val="24"/>
          <w:szCs w:val="24"/>
        </w:rPr>
        <w:br/>
      </w:r>
      <w:r w:rsidRPr="00E156D5">
        <w:rPr>
          <w:rFonts w:ascii="宋体" w:eastAsia="宋体" w:hAnsi="宋体" w:cs="Arial" w:hint="eastAsia"/>
          <w:color w:val="565862"/>
          <w:kern w:val="0"/>
          <w:sz w:val="24"/>
          <w:szCs w:val="24"/>
        </w:rPr>
        <w:t> </w:t>
      </w:r>
      <w:r w:rsidRPr="00E156D5">
        <w:rPr>
          <w:rFonts w:ascii="宋体" w:eastAsia="宋体" w:hAnsi="宋体" w:cs="Arial" w:hint="eastAsia"/>
          <w:color w:val="565862"/>
          <w:kern w:val="0"/>
          <w:sz w:val="24"/>
          <w:szCs w:val="24"/>
        </w:rPr>
        <w:t> </w:t>
      </w:r>
      <w:r w:rsidRPr="00E156D5">
        <w:rPr>
          <w:rFonts w:ascii="Arial" w:eastAsia="宋体" w:hAnsi="Arial" w:cs="Arial"/>
          <w:b/>
          <w:bCs/>
          <w:color w:val="565862"/>
          <w:kern w:val="0"/>
          <w:sz w:val="24"/>
          <w:szCs w:val="24"/>
        </w:rPr>
        <w:t>（六）推进市场主体信息共享互认。</w:t>
      </w:r>
      <w:r w:rsidRPr="00E156D5">
        <w:rPr>
          <w:rFonts w:ascii="宋体" w:eastAsia="宋体" w:hAnsi="宋体" w:cs="Arial" w:hint="eastAsia"/>
          <w:color w:val="565862"/>
          <w:kern w:val="0"/>
          <w:sz w:val="24"/>
          <w:szCs w:val="24"/>
        </w:rPr>
        <w:t>制定区域统一的公共资源交易市场主体信息库数据标准，依托省级公共资源交易平台实现市场主体“一地注册、区域通用”。深入推进市场主体信息库与市场监管、住房城乡建设、人力资源社会保障、水利、交通运输等部门信息资源共享，实现公共资源交易市场主体工商登记、资质资格、业绩奖项、社保等材料“零提供”。</w:t>
      </w:r>
      <w:r w:rsidRPr="00E156D5">
        <w:rPr>
          <w:rFonts w:ascii="Arial" w:eastAsia="宋体" w:hAnsi="Arial" w:cs="Arial"/>
          <w:color w:val="565862"/>
          <w:kern w:val="0"/>
          <w:sz w:val="24"/>
          <w:szCs w:val="24"/>
        </w:rPr>
        <w:br/>
      </w:r>
      <w:r w:rsidRPr="00E156D5">
        <w:rPr>
          <w:rFonts w:ascii="宋体" w:eastAsia="宋体" w:hAnsi="宋体" w:cs="Arial" w:hint="eastAsia"/>
          <w:color w:val="565862"/>
          <w:kern w:val="0"/>
          <w:sz w:val="24"/>
          <w:szCs w:val="24"/>
        </w:rPr>
        <w:t> </w:t>
      </w:r>
      <w:r w:rsidRPr="00E156D5">
        <w:rPr>
          <w:rFonts w:ascii="宋体" w:eastAsia="宋体" w:hAnsi="宋体" w:cs="Arial" w:hint="eastAsia"/>
          <w:color w:val="565862"/>
          <w:kern w:val="0"/>
          <w:sz w:val="24"/>
          <w:szCs w:val="24"/>
        </w:rPr>
        <w:t> </w:t>
      </w:r>
      <w:r w:rsidRPr="00E156D5">
        <w:rPr>
          <w:rFonts w:ascii="Arial" w:eastAsia="宋体" w:hAnsi="Arial" w:cs="Arial"/>
          <w:b/>
          <w:bCs/>
          <w:color w:val="565862"/>
          <w:kern w:val="0"/>
          <w:sz w:val="24"/>
          <w:szCs w:val="24"/>
        </w:rPr>
        <w:t>（七）推进专家资源共享共用。</w:t>
      </w:r>
      <w:r w:rsidRPr="00E156D5">
        <w:rPr>
          <w:rFonts w:ascii="宋体" w:eastAsia="宋体" w:hAnsi="宋体" w:cs="Arial" w:hint="eastAsia"/>
          <w:color w:val="565862"/>
          <w:kern w:val="0"/>
          <w:sz w:val="24"/>
          <w:szCs w:val="24"/>
        </w:rPr>
        <w:t>建立健全区域内统一的公共资源交易评标、评审专家库管理制度，整合共享区域内评标、评审专家资源，实现专家跨地区抽取。在属地监管基础上，建立专家跨地区评标、评审的协同监管和日常考评机制，实现对评标、评审专家的动态管理。建立健全智能辅助评标系统，提升评标、评审的质量和效率，规范专家评审行为。</w:t>
      </w:r>
      <w:r w:rsidRPr="00E156D5">
        <w:rPr>
          <w:rFonts w:ascii="Arial" w:eastAsia="宋体" w:hAnsi="Arial" w:cs="Arial"/>
          <w:color w:val="565862"/>
          <w:kern w:val="0"/>
          <w:sz w:val="24"/>
          <w:szCs w:val="24"/>
        </w:rPr>
        <w:br/>
      </w:r>
      <w:r w:rsidRPr="00E156D5">
        <w:rPr>
          <w:rFonts w:ascii="宋体" w:eastAsia="宋体" w:hAnsi="宋体" w:cs="Arial" w:hint="eastAsia"/>
          <w:color w:val="565862"/>
          <w:kern w:val="0"/>
          <w:sz w:val="24"/>
          <w:szCs w:val="24"/>
        </w:rPr>
        <w:t> </w:t>
      </w:r>
      <w:r w:rsidRPr="00E156D5">
        <w:rPr>
          <w:rFonts w:ascii="宋体" w:eastAsia="宋体" w:hAnsi="宋体" w:cs="Arial" w:hint="eastAsia"/>
          <w:color w:val="565862"/>
          <w:kern w:val="0"/>
          <w:sz w:val="24"/>
          <w:szCs w:val="24"/>
        </w:rPr>
        <w:t> </w:t>
      </w:r>
      <w:r w:rsidRPr="00E156D5">
        <w:rPr>
          <w:rFonts w:ascii="Arial" w:eastAsia="宋体" w:hAnsi="Arial" w:cs="Arial"/>
          <w:b/>
          <w:bCs/>
          <w:color w:val="565862"/>
          <w:kern w:val="0"/>
          <w:sz w:val="24"/>
          <w:szCs w:val="24"/>
        </w:rPr>
        <w:t>（八）推广远程异地评标。</w:t>
      </w:r>
      <w:r w:rsidRPr="00E156D5">
        <w:rPr>
          <w:rFonts w:ascii="宋体" w:eastAsia="宋体" w:hAnsi="宋体" w:cs="Arial" w:hint="eastAsia"/>
          <w:color w:val="565862"/>
          <w:kern w:val="0"/>
          <w:sz w:val="24"/>
          <w:szCs w:val="24"/>
        </w:rPr>
        <w:t>制定统一的远程异地评标实施细则，明确适用标准和要求。建立健全远程异地评标系统技术标准规范。加快实现省级行政区域内工程招投标远程异地评标常态化运行，积极推进跨省远程异地评标，并逐步拓展应用到其他交易领域。建立远程异地评标主副场协调机制，统一评标见证服务规范。建立远程异地评标跨省（市）协同监管机制，实现对远程异地评标项目交易全程事中事后监管。</w:t>
      </w:r>
      <w:r w:rsidRPr="00E156D5">
        <w:rPr>
          <w:rFonts w:ascii="Arial" w:eastAsia="宋体" w:hAnsi="Arial" w:cs="Arial"/>
          <w:color w:val="565862"/>
          <w:kern w:val="0"/>
          <w:sz w:val="24"/>
          <w:szCs w:val="24"/>
        </w:rPr>
        <w:br/>
      </w:r>
      <w:r w:rsidRPr="00E156D5">
        <w:rPr>
          <w:rFonts w:ascii="宋体" w:eastAsia="宋体" w:hAnsi="宋体" w:cs="Arial" w:hint="eastAsia"/>
          <w:color w:val="565862"/>
          <w:kern w:val="0"/>
          <w:sz w:val="24"/>
          <w:szCs w:val="24"/>
        </w:rPr>
        <w:t> </w:t>
      </w:r>
      <w:r w:rsidRPr="00E156D5">
        <w:rPr>
          <w:rFonts w:ascii="宋体" w:eastAsia="宋体" w:hAnsi="宋体" w:cs="Arial" w:hint="eastAsia"/>
          <w:color w:val="565862"/>
          <w:kern w:val="0"/>
          <w:sz w:val="24"/>
          <w:szCs w:val="24"/>
        </w:rPr>
        <w:t> </w:t>
      </w:r>
      <w:r w:rsidRPr="00E156D5">
        <w:rPr>
          <w:rFonts w:ascii="Arial" w:eastAsia="宋体" w:hAnsi="Arial" w:cs="Arial"/>
          <w:b/>
          <w:bCs/>
          <w:color w:val="565862"/>
          <w:kern w:val="0"/>
          <w:sz w:val="24"/>
          <w:szCs w:val="24"/>
        </w:rPr>
        <w:t>（九）推进</w:t>
      </w:r>
      <w:r w:rsidRPr="00E156D5">
        <w:rPr>
          <w:rFonts w:ascii="Arial" w:eastAsia="宋体" w:hAnsi="Arial" w:cs="Arial"/>
          <w:b/>
          <w:bCs/>
          <w:color w:val="565862"/>
          <w:kern w:val="0"/>
          <w:sz w:val="24"/>
          <w:szCs w:val="24"/>
        </w:rPr>
        <w:t>CA</w:t>
      </w:r>
      <w:r w:rsidRPr="00E156D5">
        <w:rPr>
          <w:rFonts w:ascii="Arial" w:eastAsia="宋体" w:hAnsi="Arial" w:cs="Arial"/>
          <w:b/>
          <w:bCs/>
          <w:color w:val="565862"/>
          <w:kern w:val="0"/>
          <w:sz w:val="24"/>
          <w:szCs w:val="24"/>
        </w:rPr>
        <w:t>数字证书跨省互认。</w:t>
      </w:r>
      <w:r w:rsidRPr="00E156D5">
        <w:rPr>
          <w:rFonts w:ascii="宋体" w:eastAsia="宋体" w:hAnsi="宋体" w:cs="Arial" w:hint="eastAsia"/>
          <w:color w:val="565862"/>
          <w:kern w:val="0"/>
          <w:sz w:val="24"/>
          <w:szCs w:val="24"/>
        </w:rPr>
        <w:t>推动长三角区域各级交易平台积极参与公共资源交易领域CA数字证书全国互认试点，实现CA数字证书在区域内跨平台、跨部门、跨地区互认，降低市场主体交易成本。探索运用手机扫码等多种技术，实现免插介质完成身份验证、签名盖章、加密解密等交易流程，促进交易安全、便捷、高效。</w:t>
      </w:r>
      <w:r w:rsidRPr="00E156D5">
        <w:rPr>
          <w:rFonts w:ascii="Arial" w:eastAsia="宋体" w:hAnsi="Arial" w:cs="Arial"/>
          <w:color w:val="565862"/>
          <w:kern w:val="0"/>
          <w:sz w:val="24"/>
          <w:szCs w:val="24"/>
        </w:rPr>
        <w:br/>
      </w:r>
      <w:r w:rsidRPr="00E156D5">
        <w:rPr>
          <w:rFonts w:ascii="宋体" w:eastAsia="宋体" w:hAnsi="宋体" w:cs="Arial" w:hint="eastAsia"/>
          <w:color w:val="565862"/>
          <w:kern w:val="0"/>
          <w:sz w:val="24"/>
          <w:szCs w:val="24"/>
        </w:rPr>
        <w:lastRenderedPageBreak/>
        <w:t> </w:t>
      </w:r>
      <w:r w:rsidRPr="00E156D5">
        <w:rPr>
          <w:rFonts w:ascii="宋体" w:eastAsia="宋体" w:hAnsi="宋体" w:cs="Arial" w:hint="eastAsia"/>
          <w:color w:val="565862"/>
          <w:kern w:val="0"/>
          <w:sz w:val="24"/>
          <w:szCs w:val="24"/>
        </w:rPr>
        <w:t> </w:t>
      </w:r>
      <w:r w:rsidRPr="00E156D5">
        <w:rPr>
          <w:rFonts w:ascii="Arial" w:eastAsia="宋体" w:hAnsi="Arial" w:cs="Arial"/>
          <w:b/>
          <w:bCs/>
          <w:color w:val="565862"/>
          <w:kern w:val="0"/>
          <w:sz w:val="24"/>
          <w:szCs w:val="24"/>
        </w:rPr>
        <w:t>（十）推行跨地区、跨层级自主选择交易平台。</w:t>
      </w:r>
      <w:r w:rsidRPr="00E156D5">
        <w:rPr>
          <w:rFonts w:ascii="宋体" w:eastAsia="宋体" w:hAnsi="宋体" w:cs="Arial" w:hint="eastAsia"/>
          <w:color w:val="565862"/>
          <w:kern w:val="0"/>
          <w:sz w:val="24"/>
          <w:szCs w:val="24"/>
        </w:rPr>
        <w:t>鼓励同一省域内市场主体跨地市、跨层级自主选择交易平台，鼓励探索跨省选择交易平台。建立区域内公共资源交易见证互认机制，实现见证行为、结果互认。建立与自主选择交易平台相适应的行政监管机制，落实交易项目所在地监管责任。推动区域内各级公共资源交易平台公共服务系统开放对接市场主体建设运营的电子交易系统，促进形成良性竞争机制。</w:t>
      </w:r>
      <w:r w:rsidRPr="00E156D5">
        <w:rPr>
          <w:rFonts w:ascii="Arial" w:eastAsia="宋体" w:hAnsi="Arial" w:cs="Arial"/>
          <w:color w:val="565862"/>
          <w:kern w:val="0"/>
          <w:sz w:val="24"/>
          <w:szCs w:val="24"/>
        </w:rPr>
        <w:br/>
      </w:r>
      <w:r w:rsidRPr="00E156D5">
        <w:rPr>
          <w:rFonts w:ascii="宋体" w:eastAsia="宋体" w:hAnsi="宋体" w:cs="Arial" w:hint="eastAsia"/>
          <w:color w:val="565862"/>
          <w:kern w:val="0"/>
          <w:sz w:val="24"/>
          <w:szCs w:val="24"/>
        </w:rPr>
        <w:t> </w:t>
      </w:r>
      <w:r w:rsidRPr="00E156D5">
        <w:rPr>
          <w:rFonts w:ascii="宋体" w:eastAsia="宋体" w:hAnsi="宋体" w:cs="Arial" w:hint="eastAsia"/>
          <w:color w:val="565862"/>
          <w:kern w:val="0"/>
          <w:sz w:val="24"/>
          <w:szCs w:val="24"/>
        </w:rPr>
        <w:t> </w:t>
      </w:r>
      <w:r w:rsidRPr="00E156D5">
        <w:rPr>
          <w:rFonts w:ascii="Arial" w:eastAsia="宋体" w:hAnsi="Arial" w:cs="Arial"/>
          <w:b/>
          <w:bCs/>
          <w:color w:val="565862"/>
          <w:kern w:val="0"/>
          <w:sz w:val="24"/>
          <w:szCs w:val="24"/>
        </w:rPr>
        <w:t>（十一）完善信用信息归集共享和使用机制。</w:t>
      </w:r>
      <w:r w:rsidRPr="00E156D5">
        <w:rPr>
          <w:rFonts w:ascii="宋体" w:eastAsia="宋体" w:hAnsi="宋体" w:cs="Arial" w:hint="eastAsia"/>
          <w:color w:val="565862"/>
          <w:kern w:val="0"/>
          <w:sz w:val="24"/>
          <w:szCs w:val="24"/>
        </w:rPr>
        <w:t>制定长三角区域公共资源交易领域信用管理办法和信用评价标准，以省级平台为重点，加快实现长三角区域内市场主体信用信息交换共享。依托统一的社会信用代码和有关行业信用信息系统，建立公共资源交易市场主体信用信息库。健全交易平台与征信机构、金融机构、行业协会商会等组织的信息共享机制，促进交易信用信息与社会信用信息互动融合。大力推进信用分级分类监管，加快构建跨地区、跨交易领域的失信联合惩戒机制，建立健全信用修复机制。</w:t>
      </w:r>
      <w:r w:rsidRPr="00E156D5">
        <w:rPr>
          <w:rFonts w:ascii="Arial" w:eastAsia="宋体" w:hAnsi="Arial" w:cs="Arial"/>
          <w:color w:val="565862"/>
          <w:kern w:val="0"/>
          <w:sz w:val="24"/>
          <w:szCs w:val="24"/>
        </w:rPr>
        <w:br/>
      </w:r>
      <w:r w:rsidRPr="00E156D5">
        <w:rPr>
          <w:rFonts w:ascii="宋体" w:eastAsia="宋体" w:hAnsi="宋体" w:cs="Arial" w:hint="eastAsia"/>
          <w:color w:val="565862"/>
          <w:kern w:val="0"/>
          <w:sz w:val="24"/>
          <w:szCs w:val="24"/>
        </w:rPr>
        <w:t> </w:t>
      </w:r>
      <w:r w:rsidRPr="00E156D5">
        <w:rPr>
          <w:rFonts w:ascii="宋体" w:eastAsia="宋体" w:hAnsi="宋体" w:cs="Arial" w:hint="eastAsia"/>
          <w:color w:val="565862"/>
          <w:kern w:val="0"/>
          <w:sz w:val="24"/>
          <w:szCs w:val="24"/>
        </w:rPr>
        <w:t> </w:t>
      </w:r>
      <w:r w:rsidRPr="00E156D5">
        <w:rPr>
          <w:rFonts w:ascii="Arial" w:eastAsia="宋体" w:hAnsi="Arial" w:cs="Arial"/>
          <w:b/>
          <w:bCs/>
          <w:color w:val="565862"/>
          <w:kern w:val="0"/>
          <w:sz w:val="24"/>
          <w:szCs w:val="24"/>
        </w:rPr>
        <w:t>（十二）强化监管信息支撑服务。</w:t>
      </w:r>
      <w:r w:rsidRPr="00E156D5">
        <w:rPr>
          <w:rFonts w:ascii="宋体" w:eastAsia="宋体" w:hAnsi="宋体" w:cs="Arial" w:hint="eastAsia"/>
          <w:color w:val="565862"/>
          <w:kern w:val="0"/>
          <w:sz w:val="24"/>
          <w:szCs w:val="24"/>
        </w:rPr>
        <w:t>健全交易数据部门共享机制，完善数据共享目录和标准，提升数据共享统筹协调力度和共享效率，为行政监管、纪检监察、审计等部门履行职能提供技术、数据、在线监督等支撑服务。健全数据安全风险防范机制，加强数据使用全过程管理，保障数据可信、可控、可管。积极运用大数据、区块链、人工智能等技术手段，加强对交易活动的监测分析，提升监管能力和水平。</w:t>
      </w:r>
      <w:r w:rsidRPr="00E156D5">
        <w:rPr>
          <w:rFonts w:ascii="Arial" w:eastAsia="宋体" w:hAnsi="Arial" w:cs="Arial"/>
          <w:color w:val="565862"/>
          <w:kern w:val="0"/>
          <w:sz w:val="24"/>
          <w:szCs w:val="24"/>
        </w:rPr>
        <w:br/>
      </w:r>
      <w:r w:rsidRPr="00E156D5">
        <w:rPr>
          <w:rFonts w:ascii="宋体" w:eastAsia="宋体" w:hAnsi="宋体" w:cs="Arial" w:hint="eastAsia"/>
          <w:color w:val="565862"/>
          <w:kern w:val="0"/>
          <w:sz w:val="24"/>
          <w:szCs w:val="24"/>
        </w:rPr>
        <w:t> </w:t>
      </w:r>
      <w:r w:rsidRPr="00E156D5">
        <w:rPr>
          <w:rFonts w:ascii="宋体" w:eastAsia="宋体" w:hAnsi="宋体" w:cs="Arial" w:hint="eastAsia"/>
          <w:color w:val="565862"/>
          <w:kern w:val="0"/>
          <w:sz w:val="24"/>
          <w:szCs w:val="24"/>
        </w:rPr>
        <w:t> </w:t>
      </w:r>
      <w:r w:rsidRPr="00E156D5">
        <w:rPr>
          <w:rFonts w:ascii="Arial" w:eastAsia="宋体" w:hAnsi="Arial" w:cs="Arial"/>
          <w:b/>
          <w:bCs/>
          <w:color w:val="565862"/>
          <w:kern w:val="0"/>
          <w:sz w:val="24"/>
          <w:szCs w:val="24"/>
        </w:rPr>
        <w:t>三、保障措施</w:t>
      </w:r>
      <w:r w:rsidRPr="00E156D5">
        <w:rPr>
          <w:rFonts w:ascii="Arial" w:eastAsia="宋体" w:hAnsi="Arial" w:cs="Arial"/>
          <w:color w:val="565862"/>
          <w:kern w:val="0"/>
          <w:sz w:val="24"/>
          <w:szCs w:val="24"/>
        </w:rPr>
        <w:br/>
      </w:r>
      <w:r w:rsidRPr="00E156D5">
        <w:rPr>
          <w:rFonts w:ascii="宋体" w:eastAsia="宋体" w:hAnsi="宋体" w:cs="Arial" w:hint="eastAsia"/>
          <w:color w:val="565862"/>
          <w:kern w:val="0"/>
          <w:sz w:val="24"/>
          <w:szCs w:val="24"/>
        </w:rPr>
        <w:t> </w:t>
      </w:r>
      <w:r w:rsidRPr="00E156D5">
        <w:rPr>
          <w:rFonts w:ascii="宋体" w:eastAsia="宋体" w:hAnsi="宋体" w:cs="Arial" w:hint="eastAsia"/>
          <w:color w:val="565862"/>
          <w:kern w:val="0"/>
          <w:sz w:val="24"/>
          <w:szCs w:val="24"/>
        </w:rPr>
        <w:t> </w:t>
      </w:r>
      <w:r w:rsidRPr="00E156D5">
        <w:rPr>
          <w:rFonts w:ascii="Arial" w:eastAsia="宋体" w:hAnsi="Arial" w:cs="Arial"/>
          <w:b/>
          <w:bCs/>
          <w:color w:val="565862"/>
          <w:kern w:val="0"/>
          <w:sz w:val="24"/>
          <w:szCs w:val="24"/>
        </w:rPr>
        <w:t>（十三）明确职责分工。</w:t>
      </w:r>
      <w:r w:rsidRPr="00E156D5">
        <w:rPr>
          <w:rFonts w:ascii="宋体" w:eastAsia="宋体" w:hAnsi="宋体" w:cs="Arial" w:hint="eastAsia"/>
          <w:color w:val="565862"/>
          <w:kern w:val="0"/>
          <w:sz w:val="24"/>
          <w:szCs w:val="24"/>
        </w:rPr>
        <w:t>长三角区域三省一市各级公共资源交易平台整合牵头部门要会同各有关行业主管部门，将公共资源交易作为推进长三角区域一体化发展工作的重点领域之一，逐条逐项细化任务、分解责任，明确时间表和路线图，完善工作机制，压实工作责任，抓好贯彻落实。三省一市要加强沟通协作，轮值定期召开会议，研究协调推进公共资源交易区域合作重大事项。</w:t>
      </w:r>
      <w:r w:rsidRPr="00E156D5">
        <w:rPr>
          <w:rFonts w:ascii="Arial" w:eastAsia="宋体" w:hAnsi="Arial" w:cs="Arial"/>
          <w:color w:val="565862"/>
          <w:kern w:val="0"/>
          <w:sz w:val="24"/>
          <w:szCs w:val="24"/>
        </w:rPr>
        <w:br/>
      </w:r>
      <w:r w:rsidRPr="00E156D5">
        <w:rPr>
          <w:rFonts w:ascii="宋体" w:eastAsia="宋体" w:hAnsi="宋体" w:cs="Arial" w:hint="eastAsia"/>
          <w:color w:val="565862"/>
          <w:kern w:val="0"/>
          <w:sz w:val="24"/>
          <w:szCs w:val="24"/>
        </w:rPr>
        <w:t> </w:t>
      </w:r>
      <w:r w:rsidRPr="00E156D5">
        <w:rPr>
          <w:rFonts w:ascii="宋体" w:eastAsia="宋体" w:hAnsi="宋体" w:cs="Arial" w:hint="eastAsia"/>
          <w:color w:val="565862"/>
          <w:kern w:val="0"/>
          <w:sz w:val="24"/>
          <w:szCs w:val="24"/>
        </w:rPr>
        <w:t> </w:t>
      </w:r>
      <w:r w:rsidRPr="00E156D5">
        <w:rPr>
          <w:rFonts w:ascii="Arial" w:eastAsia="宋体" w:hAnsi="Arial" w:cs="Arial"/>
          <w:b/>
          <w:bCs/>
          <w:color w:val="565862"/>
          <w:kern w:val="0"/>
          <w:sz w:val="24"/>
          <w:szCs w:val="24"/>
        </w:rPr>
        <w:t>（十四）强化政策支持。</w:t>
      </w:r>
      <w:r w:rsidRPr="00E156D5">
        <w:rPr>
          <w:rFonts w:ascii="宋体" w:eastAsia="宋体" w:hAnsi="宋体" w:cs="Arial" w:hint="eastAsia"/>
          <w:color w:val="565862"/>
          <w:kern w:val="0"/>
          <w:sz w:val="24"/>
          <w:szCs w:val="24"/>
        </w:rPr>
        <w:t>鼓励长三角各地积极参与公共资源交易领域相关国家试点示范工作，支持区域内公共资源交易平台承担各类全国性要素资源市场建设运行工作。发挥好长三角生态绿色一体化发展示范区制度创新“试验田”作用，在公共资源交易一体化重点领域率先开展探索，形成有利于要素自由流动和高效配置的良好环境。</w:t>
      </w:r>
      <w:r w:rsidRPr="00E156D5">
        <w:rPr>
          <w:rFonts w:ascii="Arial" w:eastAsia="宋体" w:hAnsi="Arial" w:cs="Arial"/>
          <w:color w:val="565862"/>
          <w:kern w:val="0"/>
          <w:sz w:val="24"/>
          <w:szCs w:val="24"/>
        </w:rPr>
        <w:br/>
      </w:r>
      <w:r w:rsidRPr="00E156D5">
        <w:rPr>
          <w:rFonts w:ascii="宋体" w:eastAsia="宋体" w:hAnsi="宋体" w:cs="Arial" w:hint="eastAsia"/>
          <w:color w:val="565862"/>
          <w:kern w:val="0"/>
          <w:sz w:val="24"/>
          <w:szCs w:val="24"/>
        </w:rPr>
        <w:t> </w:t>
      </w:r>
      <w:r w:rsidRPr="00E156D5">
        <w:rPr>
          <w:rFonts w:ascii="宋体" w:eastAsia="宋体" w:hAnsi="宋体" w:cs="Arial" w:hint="eastAsia"/>
          <w:color w:val="565862"/>
          <w:kern w:val="0"/>
          <w:sz w:val="24"/>
          <w:szCs w:val="24"/>
        </w:rPr>
        <w:t> </w:t>
      </w:r>
      <w:r w:rsidRPr="00E156D5">
        <w:rPr>
          <w:rFonts w:ascii="Arial" w:eastAsia="宋体" w:hAnsi="Arial" w:cs="Arial"/>
          <w:b/>
          <w:bCs/>
          <w:color w:val="565862"/>
          <w:kern w:val="0"/>
          <w:sz w:val="24"/>
          <w:szCs w:val="24"/>
        </w:rPr>
        <w:t>（十五）抓好督促落实。</w:t>
      </w:r>
      <w:r w:rsidRPr="00E156D5">
        <w:rPr>
          <w:rFonts w:ascii="宋体" w:eastAsia="宋体" w:hAnsi="宋体" w:cs="Arial" w:hint="eastAsia"/>
          <w:color w:val="565862"/>
          <w:kern w:val="0"/>
          <w:sz w:val="24"/>
          <w:szCs w:val="24"/>
        </w:rPr>
        <w:t>推动长三角一体化发展领导小组办公室会同国务院有关部门加强对本意见落实情况的统筹指导和督促协调，及时了解工作进展，协调解决存在的重大问题，适时开展评估，总结推广公共资源交易区域一体化的好经验好做法，充分发挥示范带动作用。</w:t>
      </w:r>
      <w:r w:rsidRPr="00E156D5">
        <w:rPr>
          <w:rFonts w:ascii="Arial" w:eastAsia="宋体" w:hAnsi="Arial" w:cs="Arial"/>
          <w:color w:val="565862"/>
          <w:kern w:val="0"/>
          <w:sz w:val="24"/>
          <w:szCs w:val="24"/>
        </w:rPr>
        <w:br/>
      </w:r>
    </w:p>
    <w:p w:rsidR="00E156D5" w:rsidRPr="00E156D5" w:rsidRDefault="00E156D5" w:rsidP="00E156D5">
      <w:pPr>
        <w:widowControl/>
        <w:jc w:val="center"/>
        <w:rPr>
          <w:rFonts w:ascii="Arial" w:eastAsia="宋体" w:hAnsi="Arial" w:cs="Arial"/>
          <w:color w:val="565862"/>
          <w:kern w:val="0"/>
          <w:sz w:val="24"/>
          <w:szCs w:val="24"/>
        </w:rPr>
      </w:pPr>
      <w:r w:rsidRPr="00E156D5">
        <w:rPr>
          <w:rFonts w:ascii="宋体" w:eastAsia="宋体" w:hAnsi="宋体" w:cs="Arial" w:hint="eastAsia"/>
          <w:color w:val="565862"/>
          <w:kern w:val="0"/>
          <w:sz w:val="24"/>
          <w:szCs w:val="24"/>
        </w:rPr>
        <w:t>国家发展改革委</w:t>
      </w:r>
    </w:p>
    <w:p w:rsidR="00E156D5" w:rsidRPr="00E156D5" w:rsidRDefault="00E156D5" w:rsidP="00E156D5">
      <w:pPr>
        <w:widowControl/>
        <w:jc w:val="center"/>
        <w:rPr>
          <w:rFonts w:ascii="Arial" w:eastAsia="宋体" w:hAnsi="Arial" w:cs="Arial"/>
          <w:color w:val="565862"/>
          <w:kern w:val="0"/>
          <w:sz w:val="24"/>
          <w:szCs w:val="24"/>
        </w:rPr>
      </w:pPr>
      <w:r w:rsidRPr="00E156D5">
        <w:rPr>
          <w:rFonts w:ascii="宋体" w:eastAsia="宋体" w:hAnsi="宋体" w:cs="Arial" w:hint="eastAsia"/>
          <w:color w:val="565862"/>
          <w:kern w:val="0"/>
          <w:sz w:val="24"/>
          <w:szCs w:val="24"/>
        </w:rPr>
        <w:t>2022年3月8日</w:t>
      </w:r>
    </w:p>
    <w:p w:rsidR="006F56D2" w:rsidRPr="00615265" w:rsidRDefault="006F56D2" w:rsidP="00D53914">
      <w:bookmarkStart w:id="0" w:name="_GoBack"/>
      <w:bookmarkEnd w:id="0"/>
    </w:p>
    <w:sectPr w:rsidR="006F56D2" w:rsidRPr="006152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ECB"/>
    <w:rsid w:val="00163ECB"/>
    <w:rsid w:val="00615265"/>
    <w:rsid w:val="006F56D2"/>
    <w:rsid w:val="00D53914"/>
    <w:rsid w:val="00D75095"/>
    <w:rsid w:val="00E15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750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750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98209">
      <w:bodyDiv w:val="1"/>
      <w:marLeft w:val="0"/>
      <w:marRight w:val="0"/>
      <w:marTop w:val="0"/>
      <w:marBottom w:val="0"/>
      <w:divBdr>
        <w:top w:val="none" w:sz="0" w:space="0" w:color="auto"/>
        <w:left w:val="none" w:sz="0" w:space="0" w:color="auto"/>
        <w:bottom w:val="none" w:sz="0" w:space="0" w:color="auto"/>
        <w:right w:val="none" w:sz="0" w:space="0" w:color="auto"/>
      </w:divBdr>
    </w:div>
    <w:div w:id="1341005067">
      <w:bodyDiv w:val="1"/>
      <w:marLeft w:val="0"/>
      <w:marRight w:val="0"/>
      <w:marTop w:val="0"/>
      <w:marBottom w:val="0"/>
      <w:divBdr>
        <w:top w:val="none" w:sz="0" w:space="0" w:color="auto"/>
        <w:left w:val="none" w:sz="0" w:space="0" w:color="auto"/>
        <w:bottom w:val="none" w:sz="0" w:space="0" w:color="auto"/>
        <w:right w:val="none" w:sz="0" w:space="0" w:color="auto"/>
      </w:divBdr>
    </w:div>
    <w:div w:id="1511410576">
      <w:bodyDiv w:val="1"/>
      <w:marLeft w:val="0"/>
      <w:marRight w:val="0"/>
      <w:marTop w:val="0"/>
      <w:marBottom w:val="0"/>
      <w:divBdr>
        <w:top w:val="none" w:sz="0" w:space="0" w:color="auto"/>
        <w:left w:val="none" w:sz="0" w:space="0" w:color="auto"/>
        <w:bottom w:val="none" w:sz="0" w:space="0" w:color="auto"/>
        <w:right w:val="none" w:sz="0" w:space="0" w:color="auto"/>
      </w:divBdr>
      <w:divsChild>
        <w:div w:id="1083524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2022-03-23T07:46:00Z</dcterms:created>
  <dcterms:modified xsi:type="dcterms:W3CDTF">2022-03-23T08:22:00Z</dcterms:modified>
</cp:coreProperties>
</file>