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kern w:val="2"/>
          <w:sz w:val="44"/>
          <w:szCs w:val="44"/>
          <w:lang w:val="en-US" w:eastAsia="zh-CN" w:bidi="ar-SA"/>
        </w:rPr>
      </w:pPr>
      <w:bookmarkStart w:id="0" w:name="_GoBack"/>
      <w:r>
        <w:rPr>
          <w:rFonts w:hint="eastAsia" w:ascii="宋体" w:hAnsi="宋体" w:eastAsia="宋体" w:cs="宋体"/>
          <w:b/>
          <w:bCs/>
          <w:color w:val="000000"/>
          <w:kern w:val="2"/>
          <w:sz w:val="44"/>
          <w:szCs w:val="44"/>
          <w:lang w:val="en-US" w:eastAsia="zh-CN" w:bidi="ar-SA"/>
        </w:rPr>
        <w:t>黄山区市场监管业务“帮办代办上门办”工作制度</w:t>
      </w:r>
      <w:bookmarkEnd w:id="0"/>
    </w:p>
    <w:p>
      <w:pPr>
        <w:keepNext w:val="0"/>
        <w:keepLines w:val="0"/>
        <w:pageBreakBefore w:val="0"/>
        <w:widowControl w:val="0"/>
        <w:kinsoku/>
        <w:wordWrap/>
        <w:overflowPunct/>
        <w:topLinePunct w:val="0"/>
        <w:autoSpaceDE/>
        <w:autoSpaceDN/>
        <w:bidi w:val="0"/>
        <w:snapToGrid/>
        <w:jc w:val="left"/>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snapToGrid/>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一、基本原则</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1、需求导向，突出重点。以便民利企为出发点，推动注册登记、餐饮许可、年报办理等高频市场监管服务事项提供“帮办代办上门办”服务，着力解决群众和经营主体办事的痛点、堵点、难点等问题。</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明确责任，依法依规。各市场监管所要强化责任主体意识，按照职能职责依法合规开展“帮办代办上门办”服务，不得损害群众和经营主体的合法权益，做到代办不包办、到位不越位。做好村级代办衔接工作，实现政务服务便民体系不断向基层延伸。</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3、自愿委托，无偿代办。群众和经营主体自愿委托、自行选择“帮办代办上门办”服务。各市场监管所要无偿提供“帮办代办上门办”服务，不得向群众和经营主体收取费用。</w:t>
      </w:r>
    </w:p>
    <w:p>
      <w:pPr>
        <w:keepNext w:val="0"/>
        <w:keepLines w:val="0"/>
        <w:pageBreakBefore w:val="0"/>
        <w:widowControl w:val="0"/>
        <w:kinsoku/>
        <w:wordWrap/>
        <w:overflowPunct/>
        <w:topLinePunct w:val="0"/>
        <w:autoSpaceDE/>
        <w:autoSpaceDN/>
        <w:bidi w:val="0"/>
        <w:snapToGrid/>
        <w:ind w:firstLine="64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二、建立“为民为企”流动服务站</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设置流动服务站点。各市场监管所因地制宜设立“为民为企”流动服务站，打造多元化流动服务站模式。在工业园区、各村委会或经营主体相对集中的偏远村组（自然村）设置流动服务站点，开展现场办公，无偿为群众和经营主体提供注册登记、餐饮许可、年报办理等高频市场监管服务事项“帮办代办上门办”服务。推行“预约+上门服务”模式，建立服务工作群，公开服务电话，接受群众和经营主体办事提前预约，按时提供“预约式”上门服务，最大限度减少群众跑腿次数。</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设置代办点。依托各村委会或经营主体相对集中但交通不便的村组（自然村），设立经营主体网上登记注册代办点，挑选综合素质高、业务能力强、服务态度好、工作责任心强并且熟练掌握计算机操作的人员作为代办员，经过全面系统的市场监管登记等事项业务培训后，为有需要的群众和经营主体提供咨询引导和帮办代办服务，实现足不出村组办理营业执照，打通便民利企服务“最后一米”。</w:t>
      </w:r>
    </w:p>
    <w:p>
      <w:pPr>
        <w:keepNext w:val="0"/>
        <w:keepLines w:val="0"/>
        <w:pageBreakBefore w:val="0"/>
        <w:widowControl w:val="0"/>
        <w:kinsoku/>
        <w:wordWrap/>
        <w:overflowPunct/>
        <w:topLinePunct w:val="0"/>
        <w:autoSpaceDE/>
        <w:autoSpaceDN/>
        <w:bidi w:val="0"/>
        <w:snapToGrid/>
        <w:ind w:firstLine="640"/>
        <w:jc w:val="left"/>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开展业务培训。各市场监管所通过集中培训、现场培训、以会代训等方式，多途径对村组级代办员开展经营主体登记注册相关业务学习政策业务培训，在经营主体办理登记注册前，一次性告知需要提供的材料及相关要求，提升群众办事效率。建立市场监管部门和代办员微信沟通交流群，加强协同配合，快速有效的解决业务操作上遇到的问题，提高工作效率。</w:t>
      </w:r>
    </w:p>
    <w:p>
      <w:pPr>
        <w:keepNext w:val="0"/>
        <w:keepLines w:val="0"/>
        <w:pageBreakBefore w:val="0"/>
        <w:widowControl w:val="0"/>
        <w:kinsoku/>
        <w:wordWrap/>
        <w:overflowPunct/>
        <w:topLinePunct w:val="0"/>
        <w:autoSpaceDE/>
        <w:autoSpaceDN/>
        <w:bidi w:val="0"/>
        <w:snapToGrid/>
        <w:ind w:firstLine="64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三、首问责任制度</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1、凡第一个接收来流动服务站的服务对象或第一个接听服务对象询问电话的工作人员，即为流动服务站首问责任人。</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2、首问负责人必须向服务对象提供主动、热情、周到的服务。</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3、服务对象需办理事项属首问责任人职责范围内的，首问责任人应及时处理，一时不能办理的，要耐心说明理由。不属于首问责任人职责范围的，首问责任人有责任向服务对象指明负责该项工作具体承办人。</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4、接到服务对象联系工作或询问电话时，属首问责任人职责范围的，要热情礼貌地给予答复，属其他承办人员职责范围的，要清楚地告知该承办人的电话号码。</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5、首问责任制要求流动服务站工作人员必须强化职业道德意识，树立为办事人服务的思想；加强业务学习，提高依法行政水平和业务工作能力。</w:t>
      </w:r>
    </w:p>
    <w:p>
      <w:pPr>
        <w:keepNext w:val="0"/>
        <w:keepLines w:val="0"/>
        <w:pageBreakBefore w:val="0"/>
        <w:widowControl w:val="0"/>
        <w:kinsoku/>
        <w:wordWrap/>
        <w:overflowPunct/>
        <w:topLinePunct w:val="0"/>
        <w:autoSpaceDE/>
        <w:autoSpaceDN/>
        <w:bidi w:val="0"/>
        <w:snapToGrid/>
        <w:ind w:firstLine="64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四、限时办结制度</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1、限时办结制是指流动服务站工作人员对办事人员申请办理的事项，根据不同的要求在规定的时限内办事完成，做到优质高效的管理制度。</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2、服务对象提出的申请事项，办事程序简单，申报材料齐全，可当场办结的，办事人员要即收即办，现场一般在30分钟内办结。</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3、服务对象提出的申请事项，需经审核、现场查看等，不能当场办结，办事人员要根据办事时限规定，在规定的时限内办结。</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4、服务对象的申请事项属于转报、上报审批的，承办责任人应尽快与上级主管理部门联系，负责全过程办理，并原则承诺办理时限。</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5、对申请事项不符合政策规定的，工作人员应及时作出解释。</w:t>
      </w:r>
    </w:p>
    <w:p>
      <w:pPr>
        <w:keepNext w:val="0"/>
        <w:keepLines w:val="0"/>
        <w:pageBreakBefore w:val="0"/>
        <w:widowControl w:val="0"/>
        <w:kinsoku/>
        <w:wordWrap/>
        <w:overflowPunct/>
        <w:topLinePunct w:val="0"/>
        <w:autoSpaceDE/>
        <w:autoSpaceDN/>
        <w:bidi w:val="0"/>
        <w:snapToGrid/>
        <w:ind w:firstLine="64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五、一次性告知制度</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对到流动服务站进行政策咨询或电话咨询的服务对象，流动服务站工作人员必须一次性明确告知办理所咨询事项需要提交的有关材料、办理程序、承诺时限、收费标准和办事的法律法规政策依据、要求，不得以自己不了解情况和不熟悉业务为借口，要求当事人到部门去咨询。</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2、流动服务站工作人员在受理咨询事项时，应当热情、主动地提供咨询服务，不得以自己不了解情况和不熟悉业务为借口，要求当事人到其他部门去咨询。</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3、对于申报材料不齐作补办件收件的事项，要在补办通知单中一次性告知服务对象所需补充的有关材料。</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4、对不符合批准条件作退回件处理的，要以书面形式一次性告知被服务对象退回的原因。</w:t>
      </w:r>
    </w:p>
    <w:p>
      <w:pPr>
        <w:keepNext w:val="0"/>
        <w:keepLines w:val="0"/>
        <w:pageBreakBefore w:val="0"/>
        <w:widowControl w:val="0"/>
        <w:kinsoku/>
        <w:wordWrap/>
        <w:overflowPunct/>
        <w:topLinePunct w:val="0"/>
        <w:autoSpaceDE/>
        <w:autoSpaceDN/>
        <w:bidi w:val="0"/>
        <w:snapToGrid/>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5、对未执行上述规定而造成不良影响的，按有关规定处理。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OGZiOWQ0MjZjYzExZTcyNjY0NzVkOWI0ZDcwZGYifQ=="/>
  </w:docVars>
  <w:rsids>
    <w:rsidRoot w:val="27494B76"/>
    <w:rsid w:val="2749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2023-10-12T08:57:00Z</dcterms:created>
  <dc:creator>洋洋</dc:creator>
  <cp:lastModifiedBy>洋洋</cp:lastModifiedBy>
  <dcterms:modified xsi:type="dcterms:W3CDTF">2023-10-12T08:58:27Z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76FA4F9F58594536940428CDAF6A2FA5_11</vt:lpwstr>
  </property>
</Properties>
</file>