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AF6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jc w:val="center"/>
        <w:rPr>
          <w:rFonts w:hint="eastAsia" w:ascii="黑体" w:hAnsi="黑体" w:eastAsia="黑体" w:cs="黑体"/>
          <w:i w:val="0"/>
          <w:iCs w:val="0"/>
          <w:caps w:val="0"/>
          <w:color w:val="333333"/>
          <w:spacing w:val="0"/>
          <w:sz w:val="36"/>
          <w:szCs w:val="36"/>
          <w:shd w:val="clear" w:fill="FFFFFF"/>
        </w:rPr>
      </w:pPr>
      <w:r>
        <w:rPr>
          <w:rFonts w:hint="eastAsia" w:ascii="黑体" w:hAnsi="黑体" w:eastAsia="黑体" w:cs="黑体"/>
          <w:color w:val="000000" w:themeColor="text1"/>
          <w:sz w:val="36"/>
          <w:szCs w:val="36"/>
          <w:lang w:eastAsia="zh-CN"/>
          <w14:textFill>
            <w14:solidFill>
              <w14:schemeClr w14:val="tx1"/>
            </w14:solidFill>
          </w14:textFill>
        </w:rPr>
        <w:t>城区污水处理厂运行费用项目支出绩效评价报告</w:t>
      </w:r>
    </w:p>
    <w:p w14:paraId="6FDDA9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jc w:val="both"/>
        <w:rPr>
          <w:rFonts w:hint="eastAsia" w:ascii="微软雅黑" w:hAnsi="微软雅黑" w:eastAsia="微软雅黑" w:cs="微软雅黑"/>
          <w:i w:val="0"/>
          <w:iCs w:val="0"/>
          <w:caps w:val="0"/>
          <w:color w:val="333333"/>
          <w:spacing w:val="0"/>
          <w:sz w:val="24"/>
          <w:szCs w:val="24"/>
          <w:shd w:val="clear" w:fill="FFFFFF"/>
        </w:rPr>
      </w:pPr>
    </w:p>
    <w:p w14:paraId="241AB2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黑体" w:hAnsi="黑体" w:eastAsia="黑体" w:cs="黑体"/>
          <w:i w:val="0"/>
          <w:iCs w:val="0"/>
          <w:caps w:val="0"/>
          <w:color w:val="333333"/>
          <w:spacing w:val="0"/>
          <w:sz w:val="32"/>
          <w:szCs w:val="32"/>
        </w:rPr>
      </w:pPr>
      <w:r>
        <w:rPr>
          <w:rFonts w:hint="eastAsia" w:ascii="黑体" w:hAnsi="黑体" w:eastAsia="黑体" w:cs="黑体"/>
          <w:i w:val="0"/>
          <w:iCs w:val="0"/>
          <w:caps w:val="0"/>
          <w:color w:val="333333"/>
          <w:spacing w:val="0"/>
          <w:sz w:val="32"/>
          <w:szCs w:val="32"/>
          <w:shd w:val="clear" w:fill="FFFFFF"/>
        </w:rPr>
        <w:t>一、项目基本情况</w:t>
      </w:r>
    </w:p>
    <w:p w14:paraId="523AAD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3" w:firstLineChars="200"/>
        <w:jc w:val="both"/>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（一）项目概况</w:t>
      </w:r>
    </w:p>
    <w:p w14:paraId="7B403F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1、项目背景：</w:t>
      </w:r>
    </w:p>
    <w:p w14:paraId="0303D5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近年来，随着黄山区社会经济的不断发展，城区用水量不断增大，因而工业废水和生活污水排放量也日趋增大，大量生活污水和工业废水未经处理就直接排入河体，对当地的水体环境造成污染，为了改善城区水体环境，使之与社会、经济发展相协调，提高污水处理运营质量和水平，根据国务院《城镇排水与污水处理条例》及省市相关文件要求，实施本项目。</w:t>
      </w:r>
    </w:p>
    <w:p w14:paraId="0FE527B1">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2、主要内</w:t>
      </w:r>
      <w:bookmarkStart w:id="0" w:name="_GoBack"/>
      <w:bookmarkEnd w:id="0"/>
      <w:r>
        <w:rPr>
          <w:rFonts w:hint="eastAsia" w:ascii="仿宋" w:hAnsi="仿宋" w:eastAsia="仿宋" w:cs="仿宋"/>
          <w:i w:val="0"/>
          <w:iCs w:val="0"/>
          <w:caps w:val="0"/>
          <w:color w:val="333333"/>
          <w:spacing w:val="0"/>
          <w:sz w:val="32"/>
          <w:szCs w:val="32"/>
          <w:shd w:val="clear" w:fill="FFFFFF"/>
          <w:lang w:val="en-US" w:eastAsia="zh-CN"/>
        </w:rPr>
        <w:t>容及实施情况：</w:t>
      </w:r>
    </w:p>
    <w:p w14:paraId="4C5BBEBD">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rPr>
        <w:t>区污水处理</w:t>
      </w:r>
      <w:r>
        <w:rPr>
          <w:rFonts w:hint="eastAsia" w:ascii="仿宋" w:hAnsi="仿宋" w:eastAsia="仿宋" w:cs="仿宋"/>
          <w:i w:val="0"/>
          <w:iCs w:val="0"/>
          <w:caps w:val="0"/>
          <w:color w:val="333333"/>
          <w:spacing w:val="0"/>
          <w:sz w:val="32"/>
          <w:szCs w:val="32"/>
          <w:shd w:val="clear" w:fill="FFFFFF"/>
          <w:lang w:eastAsia="zh-CN"/>
        </w:rPr>
        <w:t>厂</w:t>
      </w:r>
      <w:r>
        <w:rPr>
          <w:rFonts w:hint="eastAsia" w:ascii="仿宋" w:hAnsi="仿宋" w:eastAsia="仿宋" w:cs="仿宋"/>
          <w:i w:val="0"/>
          <w:iCs w:val="0"/>
          <w:caps w:val="0"/>
          <w:color w:val="333333"/>
          <w:spacing w:val="0"/>
          <w:sz w:val="32"/>
          <w:szCs w:val="32"/>
          <w:shd w:val="clear" w:fill="FFFFFF"/>
        </w:rPr>
        <w:t>负责区污水</w:t>
      </w:r>
      <w:r>
        <w:rPr>
          <w:rFonts w:hint="eastAsia" w:ascii="仿宋" w:hAnsi="仿宋" w:eastAsia="仿宋" w:cs="仿宋"/>
          <w:i w:val="0"/>
          <w:iCs w:val="0"/>
          <w:caps w:val="0"/>
          <w:color w:val="333333"/>
          <w:spacing w:val="0"/>
          <w:sz w:val="32"/>
          <w:szCs w:val="32"/>
          <w:shd w:val="clear" w:fill="FFFFFF"/>
          <w:lang w:eastAsia="zh-CN"/>
        </w:rPr>
        <w:t>处理</w:t>
      </w:r>
      <w:r>
        <w:rPr>
          <w:rFonts w:hint="eastAsia" w:ascii="仿宋" w:hAnsi="仿宋" w:eastAsia="仿宋" w:cs="仿宋"/>
          <w:i w:val="0"/>
          <w:iCs w:val="0"/>
          <w:caps w:val="0"/>
          <w:color w:val="333333"/>
          <w:spacing w:val="0"/>
          <w:sz w:val="32"/>
          <w:szCs w:val="32"/>
          <w:shd w:val="clear" w:fill="FFFFFF"/>
        </w:rPr>
        <w:t>厂的运行维护和管网、泵站等项目建设支出</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lang w:val="en-US" w:eastAsia="zh-CN"/>
        </w:rPr>
        <w:t>2023年，区污水处理厂全年生产运行稳定，无任何重大安全事故发生，顺利完成了各项生产经营指标，保证污水处理按照合同要求，正常、有效的运行。</w:t>
      </w:r>
    </w:p>
    <w:p w14:paraId="1A9CC1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3、资金投入和使用情况：</w:t>
      </w:r>
    </w:p>
    <w:p w14:paraId="374456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202</w:t>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年，根据区污水</w:t>
      </w:r>
      <w:r>
        <w:rPr>
          <w:rFonts w:hint="eastAsia" w:ascii="仿宋" w:hAnsi="仿宋" w:eastAsia="仿宋" w:cs="仿宋"/>
          <w:i w:val="0"/>
          <w:iCs w:val="0"/>
          <w:caps w:val="0"/>
          <w:color w:val="333333"/>
          <w:spacing w:val="0"/>
          <w:sz w:val="32"/>
          <w:szCs w:val="32"/>
          <w:shd w:val="clear" w:fill="FFFFFF"/>
          <w:lang w:eastAsia="zh-CN"/>
        </w:rPr>
        <w:t>处理</w:t>
      </w:r>
      <w:r>
        <w:rPr>
          <w:rFonts w:hint="eastAsia" w:ascii="仿宋" w:hAnsi="仿宋" w:eastAsia="仿宋" w:cs="仿宋"/>
          <w:i w:val="0"/>
          <w:iCs w:val="0"/>
          <w:caps w:val="0"/>
          <w:color w:val="333333"/>
          <w:spacing w:val="0"/>
          <w:sz w:val="32"/>
          <w:szCs w:val="32"/>
          <w:shd w:val="clear" w:fill="FFFFFF"/>
        </w:rPr>
        <w:t>厂日常运行及全区污水管网维护需要，编制预算资金约</w:t>
      </w:r>
      <w:r>
        <w:rPr>
          <w:rFonts w:hint="eastAsia" w:ascii="仿宋" w:hAnsi="仿宋" w:eastAsia="仿宋" w:cs="仿宋"/>
          <w:i w:val="0"/>
          <w:iCs w:val="0"/>
          <w:caps w:val="0"/>
          <w:color w:val="333333"/>
          <w:spacing w:val="0"/>
          <w:sz w:val="32"/>
          <w:szCs w:val="32"/>
          <w:shd w:val="clear" w:fill="FFFFFF"/>
          <w:lang w:val="en-US" w:eastAsia="zh-CN"/>
        </w:rPr>
        <w:t>1300.56</w:t>
      </w:r>
      <w:r>
        <w:rPr>
          <w:rFonts w:hint="eastAsia" w:ascii="仿宋" w:hAnsi="仿宋" w:eastAsia="仿宋" w:cs="仿宋"/>
          <w:i w:val="0"/>
          <w:iCs w:val="0"/>
          <w:caps w:val="0"/>
          <w:color w:val="333333"/>
          <w:spacing w:val="0"/>
          <w:sz w:val="32"/>
          <w:szCs w:val="32"/>
          <w:shd w:val="clear" w:fill="FFFFFF"/>
        </w:rPr>
        <w:t>万</w:t>
      </w:r>
      <w:r>
        <w:rPr>
          <w:rFonts w:hint="eastAsia" w:ascii="仿宋" w:hAnsi="仿宋" w:eastAsia="仿宋" w:cs="仿宋"/>
          <w:i w:val="0"/>
          <w:iCs w:val="0"/>
          <w:caps w:val="0"/>
          <w:color w:val="333333"/>
          <w:spacing w:val="0"/>
          <w:sz w:val="32"/>
          <w:szCs w:val="32"/>
          <w:shd w:val="clear" w:fill="FFFFFF"/>
          <w:lang w:eastAsia="zh-CN"/>
        </w:rPr>
        <w:t>元</w:t>
      </w:r>
      <w:r>
        <w:rPr>
          <w:rFonts w:hint="eastAsia" w:ascii="仿宋" w:hAnsi="仿宋" w:eastAsia="仿宋" w:cs="仿宋"/>
          <w:i w:val="0"/>
          <w:iCs w:val="0"/>
          <w:caps w:val="0"/>
          <w:color w:val="333333"/>
          <w:spacing w:val="0"/>
          <w:sz w:val="32"/>
          <w:szCs w:val="32"/>
          <w:shd w:val="clear" w:fill="FFFFFF"/>
        </w:rPr>
        <w:t>。具体支出污水处理费</w:t>
      </w:r>
      <w:r>
        <w:rPr>
          <w:rFonts w:hint="eastAsia" w:ascii="仿宋" w:hAnsi="仿宋" w:eastAsia="仿宋" w:cs="仿宋"/>
          <w:i w:val="0"/>
          <w:iCs w:val="0"/>
          <w:caps w:val="0"/>
          <w:color w:val="333333"/>
          <w:spacing w:val="0"/>
          <w:sz w:val="32"/>
          <w:szCs w:val="32"/>
          <w:shd w:val="clear" w:fill="FFFFFF"/>
          <w:lang w:val="en-US" w:eastAsia="zh-CN"/>
        </w:rPr>
        <w:t>1300.56</w:t>
      </w:r>
      <w:r>
        <w:rPr>
          <w:rFonts w:hint="eastAsia" w:ascii="仿宋" w:hAnsi="仿宋" w:eastAsia="仿宋" w:cs="仿宋"/>
          <w:i w:val="0"/>
          <w:iCs w:val="0"/>
          <w:caps w:val="0"/>
          <w:color w:val="333333"/>
          <w:spacing w:val="0"/>
          <w:sz w:val="32"/>
          <w:szCs w:val="32"/>
          <w:shd w:val="clear" w:fill="FFFFFF"/>
        </w:rPr>
        <w:t>万</w:t>
      </w:r>
      <w:r>
        <w:rPr>
          <w:rFonts w:hint="eastAsia" w:ascii="仿宋" w:hAnsi="仿宋" w:eastAsia="仿宋" w:cs="仿宋"/>
          <w:i w:val="0"/>
          <w:iCs w:val="0"/>
          <w:caps w:val="0"/>
          <w:color w:val="333333"/>
          <w:spacing w:val="0"/>
          <w:sz w:val="32"/>
          <w:szCs w:val="32"/>
          <w:shd w:val="clear" w:fill="FFFFFF"/>
          <w:lang w:eastAsia="zh-CN"/>
        </w:rPr>
        <w:t>元。</w:t>
      </w:r>
    </w:p>
    <w:p w14:paraId="4AC3EB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为加强项目资金的使用管理，所有项目资金的使用都严格按照《财务管理制度》的规定执行，专款专用，严格按照相关会计制度进行会计核算和财务处理，做到财务处理及时、会计核算规范。项目资金纳入国库集中支付管理，项目单位严把审批关，杜绝了弄虚作假、截留、挤占、挪用专项资金的情况发生，确保项目资金安全有效。</w:t>
      </w:r>
    </w:p>
    <w:p w14:paraId="2DF53F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3" w:firstLineChars="200"/>
        <w:jc w:val="both"/>
        <w:rPr>
          <w:rFonts w:hint="eastAsia" w:ascii="仿宋" w:hAnsi="仿宋" w:eastAsia="仿宋" w:cs="仿宋"/>
          <w:b/>
          <w:bCs/>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（二）项目绩效目标</w:t>
      </w:r>
    </w:p>
    <w:p w14:paraId="7C1245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1、总体目标：确保区污水</w:t>
      </w:r>
      <w:r>
        <w:rPr>
          <w:rFonts w:hint="eastAsia" w:ascii="仿宋" w:hAnsi="仿宋" w:eastAsia="仿宋" w:cs="仿宋"/>
          <w:i w:val="0"/>
          <w:iCs w:val="0"/>
          <w:caps w:val="0"/>
          <w:color w:val="333333"/>
          <w:spacing w:val="0"/>
          <w:sz w:val="32"/>
          <w:szCs w:val="32"/>
          <w:shd w:val="clear" w:fill="FFFFFF"/>
          <w:lang w:eastAsia="zh-CN"/>
        </w:rPr>
        <w:t>处理</w:t>
      </w:r>
      <w:r>
        <w:rPr>
          <w:rFonts w:hint="eastAsia" w:ascii="仿宋" w:hAnsi="仿宋" w:eastAsia="仿宋" w:cs="仿宋"/>
          <w:i w:val="0"/>
          <w:iCs w:val="0"/>
          <w:caps w:val="0"/>
          <w:color w:val="333333"/>
          <w:spacing w:val="0"/>
          <w:sz w:val="32"/>
          <w:szCs w:val="32"/>
          <w:shd w:val="clear" w:fill="FFFFFF"/>
        </w:rPr>
        <w:t>厂、污水提升泵站、</w:t>
      </w:r>
      <w:r>
        <w:rPr>
          <w:rFonts w:hint="eastAsia" w:ascii="仿宋" w:hAnsi="仿宋" w:eastAsia="仿宋" w:cs="仿宋"/>
          <w:i w:val="0"/>
          <w:iCs w:val="0"/>
          <w:caps w:val="0"/>
          <w:color w:val="333333"/>
          <w:spacing w:val="0"/>
          <w:sz w:val="32"/>
          <w:szCs w:val="32"/>
          <w:shd w:val="clear" w:fill="FFFFFF"/>
          <w:lang w:eastAsia="zh-CN"/>
        </w:rPr>
        <w:t>污水应急处理设备</w:t>
      </w:r>
      <w:r>
        <w:rPr>
          <w:rFonts w:hint="eastAsia" w:ascii="仿宋" w:hAnsi="仿宋" w:eastAsia="仿宋" w:cs="仿宋"/>
          <w:i w:val="0"/>
          <w:iCs w:val="0"/>
          <w:caps w:val="0"/>
          <w:color w:val="333333"/>
          <w:spacing w:val="0"/>
          <w:sz w:val="32"/>
          <w:szCs w:val="32"/>
          <w:shd w:val="clear" w:fill="FFFFFF"/>
        </w:rPr>
        <w:t>正常运行，提高</w:t>
      </w:r>
      <w:r>
        <w:rPr>
          <w:rFonts w:hint="eastAsia" w:ascii="仿宋" w:hAnsi="仿宋" w:eastAsia="仿宋" w:cs="仿宋"/>
          <w:i w:val="0"/>
          <w:iCs w:val="0"/>
          <w:caps w:val="0"/>
          <w:color w:val="333333"/>
          <w:spacing w:val="0"/>
          <w:sz w:val="32"/>
          <w:szCs w:val="32"/>
          <w:shd w:val="clear" w:fill="FFFFFF"/>
          <w:lang w:eastAsia="zh-CN"/>
        </w:rPr>
        <w:t>黄山</w:t>
      </w:r>
      <w:r>
        <w:rPr>
          <w:rFonts w:hint="eastAsia" w:ascii="仿宋" w:hAnsi="仿宋" w:eastAsia="仿宋" w:cs="仿宋"/>
          <w:i w:val="0"/>
          <w:iCs w:val="0"/>
          <w:caps w:val="0"/>
          <w:color w:val="333333"/>
          <w:spacing w:val="0"/>
          <w:sz w:val="32"/>
          <w:szCs w:val="32"/>
          <w:shd w:val="clear" w:fill="FFFFFF"/>
        </w:rPr>
        <w:t>区污水处理率，确保污水处理厂达标排放，符合环保要求。</w:t>
      </w:r>
    </w:p>
    <w:p w14:paraId="706CA2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2、</w:t>
      </w:r>
      <w:r>
        <w:rPr>
          <w:rFonts w:hint="eastAsia" w:ascii="仿宋" w:hAnsi="仿宋" w:eastAsia="仿宋" w:cs="仿宋"/>
          <w:i w:val="0"/>
          <w:iCs w:val="0"/>
          <w:caps w:val="0"/>
          <w:color w:val="333333"/>
          <w:spacing w:val="0"/>
          <w:sz w:val="32"/>
          <w:szCs w:val="32"/>
          <w:shd w:val="clear" w:fill="FFFFFF"/>
          <w:lang w:eastAsia="zh-CN"/>
        </w:rPr>
        <w:t>年度绩效</w:t>
      </w:r>
      <w:r>
        <w:rPr>
          <w:rFonts w:hint="eastAsia" w:ascii="仿宋" w:hAnsi="仿宋" w:eastAsia="仿宋" w:cs="仿宋"/>
          <w:i w:val="0"/>
          <w:iCs w:val="0"/>
          <w:caps w:val="0"/>
          <w:color w:val="333333"/>
          <w:spacing w:val="0"/>
          <w:sz w:val="32"/>
          <w:szCs w:val="32"/>
          <w:shd w:val="clear" w:fill="FFFFFF"/>
        </w:rPr>
        <w:t>目标</w:t>
      </w:r>
    </w:p>
    <w:p w14:paraId="0EA7C0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lang w:eastAsia="zh-CN"/>
        </w:rPr>
      </w:pPr>
      <w:r>
        <w:rPr>
          <w:rFonts w:hint="eastAsia" w:ascii="仿宋" w:hAnsi="仿宋" w:eastAsia="仿宋" w:cs="仿宋"/>
          <w:i w:val="0"/>
          <w:iCs w:val="0"/>
          <w:caps w:val="0"/>
          <w:color w:val="333333"/>
          <w:spacing w:val="0"/>
          <w:sz w:val="32"/>
          <w:szCs w:val="32"/>
          <w:shd w:val="clear" w:fill="FFFFFF"/>
          <w:lang w:eastAsia="zh-CN"/>
        </w:rPr>
        <w:t>做好运营设备设施维修及管网正常维护，保障设备完好和污水处理厂正常的生产秩序；在污水进水满足协议所要求的水质质量标准的前提下，出水水质满足</w:t>
      </w:r>
      <w:r>
        <w:rPr>
          <w:rFonts w:hint="eastAsia" w:ascii="仿宋" w:hAnsi="仿宋" w:eastAsia="仿宋" w:cs="仿宋"/>
          <w:i w:val="0"/>
          <w:iCs w:val="0"/>
          <w:caps w:val="0"/>
          <w:color w:val="333333"/>
          <w:spacing w:val="0"/>
          <w:sz w:val="32"/>
          <w:szCs w:val="32"/>
          <w:shd w:val="clear" w:fill="FFFFFF"/>
        </w:rPr>
        <w:t>《城镇污水处理厂污染物排放标准GB18918-2002》一级A标准</w:t>
      </w:r>
      <w:r>
        <w:rPr>
          <w:rFonts w:hint="eastAsia" w:ascii="仿宋" w:hAnsi="仿宋" w:eastAsia="仿宋" w:cs="仿宋"/>
          <w:i w:val="0"/>
          <w:iCs w:val="0"/>
          <w:caps w:val="0"/>
          <w:color w:val="333333"/>
          <w:spacing w:val="0"/>
          <w:sz w:val="32"/>
          <w:szCs w:val="32"/>
          <w:shd w:val="clear" w:fill="FFFFFF"/>
          <w:lang w:eastAsia="zh-CN"/>
        </w:rPr>
        <w:t>。</w:t>
      </w:r>
    </w:p>
    <w:p w14:paraId="3F76EF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（1）进出水水质</w:t>
      </w:r>
    </w:p>
    <w:tbl>
      <w:tblPr>
        <w:tblStyle w:val="3"/>
        <w:tblW w:w="0" w:type="auto"/>
        <w:tblInd w:w="0" w:type="dxa"/>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314"/>
        <w:gridCol w:w="3225"/>
        <w:gridCol w:w="2775"/>
      </w:tblGrid>
      <w:tr w14:paraId="78AA774B">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top"/>
          </w:tcPr>
          <w:p w14:paraId="0C27D9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污染物指标</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top"/>
          </w:tcPr>
          <w:p w14:paraId="79CA08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允许的最高浓度水质（mg/L）</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top"/>
          </w:tcPr>
          <w:p w14:paraId="1DBCEE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出水水质（mg/L）</w:t>
            </w:r>
          </w:p>
        </w:tc>
      </w:tr>
      <w:tr w14:paraId="6798666D">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D427B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CODcr</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390D0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≤450</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77F43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≤50</w:t>
            </w:r>
          </w:p>
        </w:tc>
      </w:tr>
      <w:tr w14:paraId="3ADF020E">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2A99A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BOD5</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8164F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≤120</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7B853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≤10</w:t>
            </w:r>
          </w:p>
        </w:tc>
      </w:tr>
      <w:tr w14:paraId="369F9428">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EA798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SS</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65EC4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≤200</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314E84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≤10</w:t>
            </w:r>
          </w:p>
        </w:tc>
      </w:tr>
      <w:tr w14:paraId="394B6E73">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FB033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TP</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0A77A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≤3</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1E395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≤0.5</w:t>
            </w:r>
          </w:p>
        </w:tc>
      </w:tr>
      <w:tr w14:paraId="3252AE06">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0104E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TN</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2648E3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≤50</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406490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≤15</w:t>
            </w:r>
          </w:p>
        </w:tc>
      </w:tr>
      <w:tr w14:paraId="122A6505">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A276B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NH3-H</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132F47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≤30</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06574C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≤5（8）</w:t>
            </w:r>
          </w:p>
        </w:tc>
      </w:tr>
      <w:tr w14:paraId="188AE468">
        <w:tblPrEx>
          <w:tblBorders>
            <w:top w:val="outset" w:color="auto" w:sz="6" w:space="0"/>
            <w:left w:val="outset" w:color="auto" w:sz="6" w:space="0"/>
            <w:bottom w:val="single" w:color="E5E5E5" w:sz="6" w:space="0"/>
            <w:right w:val="single" w:color="E5E5E5" w:sz="6" w:space="0"/>
            <w:insideH w:val="outset" w:color="auto" w:sz="6" w:space="0"/>
            <w:insideV w:val="outset" w:color="auto" w:sz="6" w:space="0"/>
          </w:tblBorders>
          <w:tblCellMar>
            <w:top w:w="0" w:type="dxa"/>
            <w:left w:w="0" w:type="dxa"/>
            <w:bottom w:w="0" w:type="dxa"/>
            <w:right w:w="0" w:type="dxa"/>
          </w:tblCellMar>
        </w:tblPrEx>
        <w:trPr>
          <w:trHeight w:val="0" w:hRule="atLeast"/>
        </w:trPr>
        <w:tc>
          <w:tcPr>
            <w:tcW w:w="237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FE241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PH</w:t>
            </w:r>
          </w:p>
        </w:tc>
        <w:tc>
          <w:tcPr>
            <w:tcW w:w="3300"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5BBCFB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6-9</w:t>
            </w:r>
          </w:p>
        </w:tc>
        <w:tc>
          <w:tcPr>
            <w:tcW w:w="2835" w:type="dxa"/>
            <w:tcBorders>
              <w:top w:val="outset" w:color="auto" w:sz="6" w:space="0"/>
              <w:left w:val="outset" w:color="auto" w:sz="6" w:space="0"/>
              <w:bottom w:val="outset" w:color="auto" w:sz="6" w:space="0"/>
              <w:right w:val="outset" w:color="auto" w:sz="6" w:space="0"/>
            </w:tcBorders>
            <w:shd w:val="clear" w:color="auto" w:fill="FFFFFF"/>
            <w:tcMar>
              <w:top w:w="0" w:type="dxa"/>
              <w:left w:w="0" w:type="dxa"/>
              <w:bottom w:w="0" w:type="dxa"/>
              <w:right w:w="0" w:type="dxa"/>
            </w:tcMar>
            <w:vAlign w:val="center"/>
          </w:tcPr>
          <w:p w14:paraId="6CA61C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ind w:left="0" w:right="0"/>
              <w:jc w:val="both"/>
              <w:rPr>
                <w:rFonts w:hint="eastAsia" w:ascii="仿宋" w:hAnsi="仿宋" w:eastAsia="仿宋" w:cs="仿宋"/>
                <w:sz w:val="24"/>
                <w:szCs w:val="24"/>
              </w:rPr>
            </w:pPr>
            <w:r>
              <w:rPr>
                <w:rFonts w:hint="eastAsia" w:ascii="仿宋" w:hAnsi="仿宋" w:eastAsia="仿宋" w:cs="仿宋"/>
                <w:i w:val="0"/>
                <w:iCs w:val="0"/>
                <w:caps w:val="0"/>
                <w:color w:val="333333"/>
                <w:spacing w:val="0"/>
                <w:sz w:val="24"/>
                <w:szCs w:val="24"/>
              </w:rPr>
              <w:t>6-9</w:t>
            </w:r>
          </w:p>
        </w:tc>
      </w:tr>
    </w:tbl>
    <w:p w14:paraId="08CF55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注：括号内值指水温小于12℃时指标</w:t>
      </w:r>
    </w:p>
    <w:p w14:paraId="7731C8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除主表指标外</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其余进水的水质指标要求应符合《污水排入城镇下水道水质》（GB/T31962-2015）</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其余出水水质符合《城镇污水处理厂污染物排放标准GB18918-2002》一级A标准要求。</w:t>
      </w:r>
    </w:p>
    <w:p w14:paraId="3BCA96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（2）污泥排放标准</w:t>
      </w:r>
    </w:p>
    <w:p w14:paraId="6EA9C7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区污水</w:t>
      </w:r>
      <w:r>
        <w:rPr>
          <w:rFonts w:hint="eastAsia" w:ascii="仿宋" w:hAnsi="仿宋" w:eastAsia="仿宋" w:cs="仿宋"/>
          <w:i w:val="0"/>
          <w:iCs w:val="0"/>
          <w:caps w:val="0"/>
          <w:color w:val="333333"/>
          <w:spacing w:val="0"/>
          <w:sz w:val="32"/>
          <w:szCs w:val="32"/>
          <w:shd w:val="clear" w:fill="FFFFFF"/>
          <w:lang w:eastAsia="zh-CN"/>
        </w:rPr>
        <w:t>处理</w:t>
      </w:r>
      <w:r>
        <w:rPr>
          <w:rFonts w:hint="eastAsia" w:ascii="仿宋" w:hAnsi="仿宋" w:eastAsia="仿宋" w:cs="仿宋"/>
          <w:i w:val="0"/>
          <w:iCs w:val="0"/>
          <w:caps w:val="0"/>
          <w:color w:val="333333"/>
          <w:spacing w:val="0"/>
          <w:sz w:val="32"/>
          <w:szCs w:val="32"/>
          <w:shd w:val="clear" w:fill="FFFFFF"/>
        </w:rPr>
        <w:t>厂的剩余污泥进行污泥干化处理，干化后的污泥含水率控制在60%以内。</w:t>
      </w:r>
    </w:p>
    <w:p w14:paraId="63391B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黑体" w:hAnsi="黑体" w:eastAsia="黑体" w:cs="黑体"/>
          <w:i w:val="0"/>
          <w:iCs w:val="0"/>
          <w:caps w:val="0"/>
          <w:color w:val="333333"/>
          <w:spacing w:val="0"/>
          <w:sz w:val="32"/>
          <w:szCs w:val="32"/>
          <w:shd w:val="clear" w:fill="FFFFFF"/>
        </w:rPr>
      </w:pPr>
      <w:r>
        <w:rPr>
          <w:rFonts w:hint="eastAsia" w:ascii="黑体" w:hAnsi="黑体" w:eastAsia="黑体" w:cs="黑体"/>
          <w:i w:val="0"/>
          <w:iCs w:val="0"/>
          <w:caps w:val="0"/>
          <w:color w:val="333333"/>
          <w:spacing w:val="0"/>
          <w:sz w:val="32"/>
          <w:szCs w:val="32"/>
          <w:shd w:val="clear" w:fill="FFFFFF"/>
          <w:lang w:eastAsia="zh-CN"/>
        </w:rPr>
        <w:t>二、</w:t>
      </w:r>
      <w:r>
        <w:rPr>
          <w:rFonts w:hint="eastAsia" w:ascii="黑体" w:hAnsi="黑体" w:eastAsia="黑体" w:cs="黑体"/>
          <w:i w:val="0"/>
          <w:iCs w:val="0"/>
          <w:caps w:val="0"/>
          <w:color w:val="333333"/>
          <w:spacing w:val="0"/>
          <w:sz w:val="32"/>
          <w:szCs w:val="32"/>
          <w:shd w:val="clear" w:fill="FFFFFF"/>
        </w:rPr>
        <w:t>绩效评价工作开展情况</w:t>
      </w:r>
    </w:p>
    <w:p w14:paraId="1AB0500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480"/>
        <w:jc w:val="both"/>
        <w:rPr>
          <w:rFonts w:hint="eastAsia" w:ascii="仿宋" w:hAnsi="仿宋" w:eastAsia="仿宋" w:cs="仿宋"/>
          <w:b/>
          <w:bCs/>
          <w:i w:val="0"/>
          <w:iCs w:val="0"/>
          <w:caps w:val="0"/>
          <w:color w:val="333333"/>
          <w:spacing w:val="0"/>
          <w:sz w:val="32"/>
          <w:szCs w:val="32"/>
          <w:shd w:val="clear" w:fill="FFFFFF"/>
          <w:lang w:val="en-US" w:eastAsia="zh-CN"/>
        </w:rPr>
      </w:pPr>
      <w:r>
        <w:rPr>
          <w:rFonts w:hint="eastAsia" w:ascii="仿宋" w:hAnsi="仿宋" w:eastAsia="仿宋" w:cs="仿宋"/>
          <w:b/>
          <w:bCs/>
          <w:i w:val="0"/>
          <w:iCs w:val="0"/>
          <w:caps w:val="0"/>
          <w:color w:val="333333"/>
          <w:spacing w:val="0"/>
          <w:sz w:val="32"/>
          <w:szCs w:val="32"/>
          <w:shd w:val="clear" w:fill="FFFFFF"/>
          <w:lang w:val="en-US" w:eastAsia="zh-CN"/>
        </w:rPr>
        <w:t>（一）绩效评价目的、对象和范围</w:t>
      </w:r>
    </w:p>
    <w:p w14:paraId="032DC4DE">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48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1.评价目的</w:t>
      </w:r>
    </w:p>
    <w:p w14:paraId="35BB743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480"/>
        <w:jc w:val="both"/>
        <w:rPr>
          <w:rFonts w:hint="eastAsia" w:ascii="仿宋" w:hAnsi="仿宋" w:eastAsia="仿宋" w:cs="仿宋"/>
          <w:sz w:val="32"/>
          <w:szCs w:val="32"/>
        </w:rPr>
      </w:pPr>
      <w:r>
        <w:rPr>
          <w:rFonts w:hint="eastAsia" w:ascii="仿宋" w:hAnsi="仿宋" w:eastAsia="仿宋" w:cs="仿宋"/>
          <w:sz w:val="32"/>
          <w:szCs w:val="32"/>
        </w:rPr>
        <w:t>根据资金使用方向设定全面、细化、可衡量的评价指标，通过评价，了解新区污水处理运行费立项充分性以及预算执行、资金使用、日常管理和目标完成情况，重点关注资金支出效益和综合效果，找出项目实施过程中遇到的困难以及存在的问题，并提出科学、可行建议，进一步提高资金保障的精准性和有效性。</w:t>
      </w:r>
    </w:p>
    <w:p w14:paraId="4386E9F5">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评价对象与范围 </w:t>
      </w:r>
    </w:p>
    <w:p w14:paraId="073A92B2">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评价对象</w:t>
      </w:r>
      <w:r>
        <w:rPr>
          <w:rFonts w:hint="eastAsia" w:ascii="仿宋" w:hAnsi="仿宋" w:eastAsia="仿宋" w:cs="仿宋"/>
          <w:sz w:val="32"/>
          <w:szCs w:val="32"/>
          <w:lang w:eastAsia="zh-CN"/>
        </w:rPr>
        <w:t>：</w:t>
      </w:r>
      <w:r>
        <w:rPr>
          <w:rFonts w:hint="eastAsia" w:ascii="仿宋" w:hAnsi="仿宋" w:eastAsia="仿宋" w:cs="仿宋"/>
          <w:sz w:val="32"/>
          <w:szCs w:val="32"/>
        </w:rPr>
        <w:t>本次绩效评价对象为</w:t>
      </w:r>
      <w:r>
        <w:rPr>
          <w:rFonts w:hint="eastAsia" w:ascii="仿宋" w:hAnsi="仿宋" w:eastAsia="仿宋" w:cs="仿宋"/>
          <w:sz w:val="32"/>
          <w:szCs w:val="32"/>
          <w:lang w:eastAsia="zh-CN"/>
        </w:rPr>
        <w:t>黄山区住建局</w:t>
      </w:r>
      <w:r>
        <w:rPr>
          <w:rFonts w:hint="eastAsia" w:ascii="仿宋" w:hAnsi="仿宋" w:eastAsia="仿宋" w:cs="仿宋"/>
          <w:sz w:val="32"/>
          <w:szCs w:val="32"/>
          <w:lang w:val="en-US" w:eastAsia="zh-CN"/>
        </w:rPr>
        <w:t>2023</w:t>
      </w:r>
      <w:r>
        <w:rPr>
          <w:rFonts w:hint="eastAsia" w:ascii="仿宋" w:hAnsi="仿宋" w:eastAsia="仿宋" w:cs="仿宋"/>
          <w:sz w:val="32"/>
          <w:szCs w:val="32"/>
        </w:rPr>
        <w:t>年实施的</w:t>
      </w:r>
      <w:r>
        <w:rPr>
          <w:rFonts w:hint="eastAsia" w:ascii="仿宋" w:hAnsi="仿宋" w:eastAsia="仿宋" w:cs="仿宋"/>
          <w:sz w:val="32"/>
          <w:szCs w:val="32"/>
          <w:lang w:eastAsia="zh-CN"/>
        </w:rPr>
        <w:t>城</w:t>
      </w:r>
      <w:r>
        <w:rPr>
          <w:rFonts w:hint="eastAsia" w:ascii="仿宋" w:hAnsi="仿宋" w:eastAsia="仿宋" w:cs="仿宋"/>
          <w:sz w:val="32"/>
          <w:szCs w:val="32"/>
        </w:rPr>
        <w:t>区污水处理</w:t>
      </w:r>
      <w:r>
        <w:rPr>
          <w:rFonts w:hint="eastAsia" w:ascii="仿宋" w:hAnsi="仿宋" w:eastAsia="仿宋" w:cs="仿宋"/>
          <w:sz w:val="32"/>
          <w:szCs w:val="32"/>
          <w:lang w:eastAsia="zh-CN"/>
        </w:rPr>
        <w:t>厂</w:t>
      </w:r>
      <w:r>
        <w:rPr>
          <w:rFonts w:hint="eastAsia" w:ascii="仿宋" w:hAnsi="仿宋" w:eastAsia="仿宋" w:cs="仿宋"/>
          <w:sz w:val="32"/>
          <w:szCs w:val="32"/>
        </w:rPr>
        <w:t>运行费</w:t>
      </w:r>
      <w:r>
        <w:rPr>
          <w:rFonts w:hint="eastAsia" w:ascii="仿宋" w:hAnsi="仿宋" w:eastAsia="仿宋" w:cs="仿宋"/>
          <w:sz w:val="32"/>
          <w:szCs w:val="32"/>
          <w:lang w:eastAsia="zh-CN"/>
        </w:rPr>
        <w:t>用</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1</w:t>
      </w:r>
      <w:r>
        <w:rPr>
          <w:rFonts w:hint="eastAsia" w:ascii="仿宋" w:hAnsi="仿宋" w:eastAsia="仿宋" w:cs="仿宋"/>
          <w:sz w:val="32"/>
          <w:szCs w:val="32"/>
        </w:rPr>
        <w:t>300</w:t>
      </w:r>
      <w:r>
        <w:rPr>
          <w:rFonts w:hint="eastAsia" w:ascii="仿宋" w:hAnsi="仿宋" w:eastAsia="仿宋" w:cs="仿宋"/>
          <w:sz w:val="32"/>
          <w:szCs w:val="32"/>
          <w:lang w:val="en-US" w:eastAsia="zh-CN"/>
        </w:rPr>
        <w:t>.56</w:t>
      </w:r>
      <w:r>
        <w:rPr>
          <w:rFonts w:hint="eastAsia" w:ascii="仿宋" w:hAnsi="仿宋" w:eastAsia="仿宋" w:cs="仿宋"/>
          <w:sz w:val="32"/>
          <w:szCs w:val="32"/>
        </w:rPr>
        <w:t xml:space="preserve"> 万元。</w:t>
      </w:r>
    </w:p>
    <w:p w14:paraId="1A647AB1">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评价范围</w:t>
      </w:r>
      <w:r>
        <w:rPr>
          <w:rFonts w:hint="eastAsia" w:ascii="仿宋" w:hAnsi="仿宋" w:eastAsia="仿宋" w:cs="仿宋"/>
          <w:sz w:val="32"/>
          <w:szCs w:val="32"/>
          <w:lang w:eastAsia="zh-CN"/>
        </w:rPr>
        <w:t>：</w:t>
      </w:r>
      <w:r>
        <w:rPr>
          <w:rFonts w:hint="eastAsia" w:ascii="仿宋" w:hAnsi="仿宋" w:eastAsia="仿宋" w:cs="仿宋"/>
          <w:sz w:val="32"/>
          <w:szCs w:val="32"/>
        </w:rPr>
        <w:t>本次绩效评价的范围包括项目的决策情况、资金管理和使用情况、相关管理制度的健全性及执行情况、实现的产出情况、取得的效益情况、受益对象的满意度情况。</w:t>
      </w:r>
    </w:p>
    <w:p w14:paraId="0054D9C4">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480"/>
        <w:jc w:val="both"/>
        <w:rPr>
          <w:rFonts w:hint="eastAsia" w:ascii="仿宋" w:hAnsi="仿宋" w:eastAsia="仿宋" w:cs="仿宋"/>
          <w:b/>
          <w:bCs/>
          <w:i w:val="0"/>
          <w:iCs w:val="0"/>
          <w:caps w:val="0"/>
          <w:color w:val="333333"/>
          <w:spacing w:val="0"/>
          <w:sz w:val="32"/>
          <w:szCs w:val="32"/>
          <w:shd w:val="clear" w:fill="FFFFFF"/>
          <w:lang w:val="en-US" w:eastAsia="zh-CN"/>
        </w:rPr>
      </w:pPr>
      <w:r>
        <w:rPr>
          <w:rFonts w:hint="eastAsia" w:ascii="仿宋" w:hAnsi="仿宋" w:eastAsia="仿宋" w:cs="仿宋"/>
          <w:b/>
          <w:bCs/>
          <w:i w:val="0"/>
          <w:iCs w:val="0"/>
          <w:caps w:val="0"/>
          <w:color w:val="333333"/>
          <w:spacing w:val="0"/>
          <w:sz w:val="32"/>
          <w:szCs w:val="32"/>
          <w:shd w:val="clear" w:fill="FFFFFF"/>
          <w:lang w:val="en-US" w:eastAsia="zh-CN"/>
        </w:rPr>
        <w:t>（二）绩效评价原则、评价指标体系、评价方法</w:t>
      </w:r>
    </w:p>
    <w:p w14:paraId="7D42DC23">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 xml:space="preserve">1.评价原则 </w:t>
      </w:r>
    </w:p>
    <w:p w14:paraId="25F44114">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 xml:space="preserve">本次绩效评价工作，遵循科学规范、绩效相关、公开透明、激励约束等原则。 </w:t>
      </w:r>
    </w:p>
    <w:p w14:paraId="70EC4B8D">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（1）科学规范。严格执行规定的流程步骤，做到指标合理、标准科学、方法适当、结果可信。</w:t>
      </w:r>
    </w:p>
    <w:p w14:paraId="1EBC0F2B">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（2）绩效相关。评价结果应当清晰反映绩效目标的实现情况以及预算支出和绩效之间的对应关系。</w:t>
      </w:r>
    </w:p>
    <w:p w14:paraId="34A7E6D7">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（3）公开透明。评价结果应当符合真实、客观、公正的要求，依法依规公开并接受监督。</w:t>
      </w:r>
    </w:p>
    <w:p w14:paraId="5DD89312">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（4）激励约束。评价结果与项目的设立、保留、整合、调整和退出相挂钩，作为改进管理、安排预算的重要依据。</w:t>
      </w:r>
    </w:p>
    <w:p w14:paraId="78C517C6">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2.评价指标体系</w:t>
      </w:r>
    </w:p>
    <w:p w14:paraId="39567A06">
      <w:pPr>
        <w:keepNext w:val="0"/>
        <w:keepLines w:val="0"/>
        <w:widowControl/>
        <w:suppressLineNumbers w:val="0"/>
        <w:ind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确定了包括3 个一级指标、9个二级指标及9个三级指标的《城区污水处理厂运行费用项目绩效评价指标体系》</w:t>
      </w:r>
    </w:p>
    <w:p w14:paraId="63EE343C">
      <w:pPr>
        <w:keepNext w:val="0"/>
        <w:keepLines w:val="0"/>
        <w:widowControl/>
        <w:numPr>
          <w:ilvl w:val="0"/>
          <w:numId w:val="0"/>
        </w:numPr>
        <w:suppressLineNumbers w:val="0"/>
        <w:ind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3.评价方法</w:t>
      </w:r>
    </w:p>
    <w:p w14:paraId="1997BC74">
      <w:pPr>
        <w:keepNext w:val="0"/>
        <w:keepLines w:val="0"/>
        <w:widowControl/>
        <w:suppressLineNumbers w:val="0"/>
        <w:ind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本次绩效评价初步采用文献研究法（评价项目投入和产出等指标）、德尔菲法（评价项目产出和效果等指标）、现场勘查法（评价项目产出和效果等指标）、公众满意度测评法（评价服务对象满意度等指标）、成本效益分析法（评价项目投入等指标）等。</w:t>
      </w:r>
    </w:p>
    <w:p w14:paraId="0EDEF958">
      <w:pPr>
        <w:keepNext w:val="0"/>
        <w:keepLines w:val="0"/>
        <w:widowControl/>
        <w:suppressLineNumbers w:val="0"/>
        <w:ind w:firstLine="643" w:firstLineChars="200"/>
        <w:jc w:val="left"/>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 xml:space="preserve">（三）绩效评价工作过程 </w:t>
      </w:r>
    </w:p>
    <w:p w14:paraId="5DCE95A4">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根据本次项目特点及以往经验，将评价时间及主要工作进程安排如下： </w:t>
      </w:r>
    </w:p>
    <w:p w14:paraId="330DC98E">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1.成立评价工作组。充分考虑人员结构、业务能力素质、利益关系回避、成员稳定性，成立由相关行业的专业人员组成的评价工作组，保证工作组成员专业结构及业务能力完全满足项目评价工作需要。根据评价方案和评价指标体系等要求，明确评价任务、对象、实施机构、时间和工作安排等。 </w:t>
      </w:r>
    </w:p>
    <w:p w14:paraId="26C74F60">
      <w:pPr>
        <w:keepNext w:val="0"/>
        <w:keepLines w:val="0"/>
        <w:widowControl/>
        <w:suppressLineNumbers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color w:val="000000"/>
          <w:kern w:val="0"/>
          <w:sz w:val="32"/>
          <w:szCs w:val="32"/>
          <w:lang w:val="en-US" w:eastAsia="zh-CN" w:bidi="ar"/>
        </w:rPr>
        <w:t xml:space="preserve">2.制定评价工作方案和评价指标体系。评价小组根据评价要求，结合项目或部门实际情况，分项目制定评价工作方案和评价指标体系，其中服务对象满意度指标需设计调查问卷，明确调查对象和范围。 </w:t>
      </w:r>
    </w:p>
    <w:p w14:paraId="167430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黑体" w:hAnsi="黑体" w:eastAsia="黑体" w:cs="黑体"/>
          <w:i w:val="0"/>
          <w:iCs w:val="0"/>
          <w:caps w:val="0"/>
          <w:color w:val="333333"/>
          <w:spacing w:val="0"/>
          <w:sz w:val="32"/>
          <w:szCs w:val="32"/>
          <w:shd w:val="clear" w:fill="FFFFFF"/>
          <w:lang w:eastAsia="zh-CN"/>
        </w:rPr>
      </w:pPr>
      <w:r>
        <w:rPr>
          <w:rFonts w:hint="eastAsia" w:ascii="黑体" w:hAnsi="黑体" w:eastAsia="黑体" w:cs="黑体"/>
          <w:i w:val="0"/>
          <w:iCs w:val="0"/>
          <w:caps w:val="0"/>
          <w:color w:val="333333"/>
          <w:spacing w:val="0"/>
          <w:sz w:val="32"/>
          <w:szCs w:val="32"/>
          <w:shd w:val="clear" w:fill="FFFFFF"/>
          <w:lang w:eastAsia="zh-CN"/>
        </w:rPr>
        <w:t>三、综合评价情况及评价结论</w:t>
      </w:r>
    </w:p>
    <w:p w14:paraId="5C0E5B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绩效评价采用百分制，满分100分，通过资料审查、数据分析、走访相关人员及满意度调查</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对202</w:t>
      </w:r>
      <w:r>
        <w:rPr>
          <w:rFonts w:hint="eastAsia" w:ascii="仿宋" w:hAnsi="仿宋" w:eastAsia="仿宋" w:cs="仿宋"/>
          <w:i w:val="0"/>
          <w:iCs w:val="0"/>
          <w:caps w:val="0"/>
          <w:color w:val="333333"/>
          <w:spacing w:val="0"/>
          <w:sz w:val="32"/>
          <w:szCs w:val="32"/>
          <w:shd w:val="clear" w:fill="FFFFFF"/>
          <w:lang w:val="en-US" w:eastAsia="zh-CN"/>
        </w:rPr>
        <w:t>3</w:t>
      </w:r>
      <w:r>
        <w:rPr>
          <w:rFonts w:hint="eastAsia" w:ascii="仿宋" w:hAnsi="仿宋" w:eastAsia="仿宋" w:cs="仿宋"/>
          <w:i w:val="0"/>
          <w:iCs w:val="0"/>
          <w:caps w:val="0"/>
          <w:color w:val="333333"/>
          <w:spacing w:val="0"/>
          <w:sz w:val="32"/>
          <w:szCs w:val="32"/>
          <w:shd w:val="clear" w:fill="FFFFFF"/>
        </w:rPr>
        <w:t>年度</w:t>
      </w:r>
      <w:r>
        <w:rPr>
          <w:rFonts w:hint="eastAsia" w:ascii="仿宋" w:hAnsi="仿宋" w:eastAsia="仿宋" w:cs="仿宋"/>
          <w:color w:val="000000" w:themeColor="text1"/>
          <w:sz w:val="32"/>
          <w:szCs w:val="32"/>
          <w:lang w:eastAsia="zh-CN"/>
          <w14:textFill>
            <w14:solidFill>
              <w14:schemeClr w14:val="tx1"/>
            </w14:solidFill>
          </w14:textFill>
        </w:rPr>
        <w:t>城区污水处理厂运行费用项目</w:t>
      </w:r>
      <w:r>
        <w:rPr>
          <w:rFonts w:hint="eastAsia" w:ascii="仿宋" w:hAnsi="仿宋" w:eastAsia="仿宋" w:cs="仿宋"/>
          <w:i w:val="0"/>
          <w:iCs w:val="0"/>
          <w:caps w:val="0"/>
          <w:color w:val="333333"/>
          <w:spacing w:val="0"/>
          <w:sz w:val="32"/>
          <w:szCs w:val="32"/>
          <w:shd w:val="clear" w:fill="FFFFFF"/>
        </w:rPr>
        <w:t>进行了客观评价，结论如下：项目工作总体认真实施，目标完成情况总体良好，完成了全年度污水处理量和达标排放的预期目标。运用</w:t>
      </w:r>
      <w:r>
        <w:rPr>
          <w:rFonts w:hint="eastAsia" w:ascii="仿宋" w:hAnsi="仿宋" w:eastAsia="仿宋" w:cs="仿宋"/>
          <w:i w:val="0"/>
          <w:iCs w:val="0"/>
          <w:caps w:val="0"/>
          <w:color w:val="333333"/>
          <w:spacing w:val="0"/>
          <w:sz w:val="32"/>
          <w:szCs w:val="32"/>
          <w:shd w:val="clear" w:fill="FFFFFF"/>
          <w:lang w:eastAsia="zh-CN"/>
        </w:rPr>
        <w:t>黄山</w:t>
      </w:r>
      <w:r>
        <w:rPr>
          <w:rFonts w:hint="eastAsia" w:ascii="仿宋" w:hAnsi="仿宋" w:eastAsia="仿宋" w:cs="仿宋"/>
          <w:i w:val="0"/>
          <w:iCs w:val="0"/>
          <w:caps w:val="0"/>
          <w:color w:val="333333"/>
          <w:spacing w:val="0"/>
          <w:sz w:val="32"/>
          <w:szCs w:val="32"/>
          <w:shd w:val="clear" w:fill="FFFFFF"/>
        </w:rPr>
        <w:t>区财政局确立的评价指标体系及评分标准，最终评分为100分，绩效评级为“优”。</w:t>
      </w:r>
    </w:p>
    <w:tbl>
      <w:tblPr>
        <w:tblStyle w:val="3"/>
        <w:tblW w:w="82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3"/>
        <w:gridCol w:w="730"/>
        <w:gridCol w:w="1237"/>
        <w:gridCol w:w="1723"/>
        <w:gridCol w:w="1237"/>
        <w:gridCol w:w="1002"/>
        <w:gridCol w:w="740"/>
        <w:gridCol w:w="724"/>
      </w:tblGrid>
      <w:tr w14:paraId="73989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6" w:hRule="atLeast"/>
        </w:trPr>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EE03B1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绩效指标</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F3E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一级指标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3E9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二级指标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82A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三级指标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873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年度指标值</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17D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实际完成值</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10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分值</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409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得分</w:t>
            </w:r>
          </w:p>
        </w:tc>
      </w:tr>
      <w:tr w14:paraId="1DC45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002758C4">
            <w:pPr>
              <w:jc w:val="center"/>
              <w:rPr>
                <w:rFonts w:hint="eastAsia" w:ascii="仿宋" w:hAnsi="仿宋" w:eastAsia="仿宋" w:cs="仿宋"/>
                <w:i w:val="0"/>
                <w:iCs w:val="0"/>
                <w:color w:val="000000"/>
                <w:sz w:val="24"/>
                <w:szCs w:val="24"/>
                <w:u w:val="none"/>
              </w:rPr>
            </w:pP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8C957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产出指标(50分)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D18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073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日污水处理规模</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065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≥2.6万吨/日</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7DF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2.6</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9A0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BFF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14:paraId="0A885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8"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69DD8720">
            <w:pPr>
              <w:jc w:val="center"/>
              <w:rPr>
                <w:rFonts w:hint="eastAsia" w:ascii="仿宋" w:hAnsi="仿宋" w:eastAsia="仿宋" w:cs="仿宋"/>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DD470">
            <w:pPr>
              <w:jc w:val="center"/>
              <w:rPr>
                <w:rFonts w:hint="eastAsia" w:ascii="仿宋" w:hAnsi="仿宋" w:eastAsia="仿宋" w:cs="仿宋"/>
                <w:i w:val="0"/>
                <w:iCs w:val="0"/>
                <w:color w:val="000000"/>
                <w:sz w:val="24"/>
                <w:szCs w:val="24"/>
                <w:u w:val="none"/>
              </w:rPr>
            </w:pPr>
          </w:p>
        </w:tc>
        <w:tc>
          <w:tcPr>
            <w:tcW w:w="1237" w:type="dxa"/>
            <w:tcBorders>
              <w:top w:val="single" w:color="000000" w:sz="4" w:space="0"/>
              <w:left w:val="single" w:color="000000" w:sz="4" w:space="0"/>
              <w:bottom w:val="nil"/>
              <w:right w:val="single" w:color="000000" w:sz="4" w:space="0"/>
            </w:tcBorders>
            <w:shd w:val="clear" w:color="auto" w:fill="auto"/>
            <w:vAlign w:val="center"/>
          </w:tcPr>
          <w:p w14:paraId="05FE188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质量指标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F524">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污水处理排放达到的标准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F76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达到一级A标准排放率</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A6C7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达成预期指标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728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306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14:paraId="4765E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3B688BCB">
            <w:pPr>
              <w:jc w:val="center"/>
              <w:rPr>
                <w:rFonts w:hint="eastAsia" w:ascii="仿宋" w:hAnsi="仿宋" w:eastAsia="仿宋" w:cs="仿宋"/>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70A93">
            <w:pPr>
              <w:jc w:val="center"/>
              <w:rPr>
                <w:rFonts w:hint="eastAsia" w:ascii="仿宋" w:hAnsi="仿宋" w:eastAsia="仿宋" w:cs="仿宋"/>
                <w:i w:val="0"/>
                <w:iCs w:val="0"/>
                <w:color w:val="000000"/>
                <w:sz w:val="24"/>
                <w:szCs w:val="24"/>
                <w:u w:val="none"/>
              </w:rPr>
            </w:pPr>
          </w:p>
        </w:tc>
        <w:tc>
          <w:tcPr>
            <w:tcW w:w="1237" w:type="dxa"/>
            <w:tcBorders>
              <w:top w:val="single" w:color="000000" w:sz="4" w:space="0"/>
              <w:left w:val="single" w:color="000000" w:sz="4" w:space="0"/>
              <w:bottom w:val="nil"/>
              <w:right w:val="single" w:color="000000" w:sz="4" w:space="0"/>
            </w:tcBorders>
            <w:shd w:val="clear" w:color="auto" w:fill="auto"/>
            <w:vAlign w:val="center"/>
          </w:tcPr>
          <w:p w14:paraId="0A82EC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时效指标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7C0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按序时进度完成率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E79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D05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BF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823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14:paraId="46828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76247FF">
            <w:pPr>
              <w:jc w:val="center"/>
              <w:rPr>
                <w:rFonts w:hint="eastAsia" w:ascii="仿宋" w:hAnsi="仿宋" w:eastAsia="仿宋" w:cs="仿宋"/>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7DF06">
            <w:pPr>
              <w:jc w:val="center"/>
              <w:rPr>
                <w:rFonts w:hint="eastAsia" w:ascii="仿宋" w:hAnsi="仿宋" w:eastAsia="仿宋" w:cs="仿宋"/>
                <w:i w:val="0"/>
                <w:iCs w:val="0"/>
                <w:color w:val="000000"/>
                <w:sz w:val="24"/>
                <w:szCs w:val="24"/>
                <w:u w:val="none"/>
              </w:rPr>
            </w:pPr>
          </w:p>
        </w:tc>
        <w:tc>
          <w:tcPr>
            <w:tcW w:w="1237" w:type="dxa"/>
            <w:tcBorders>
              <w:top w:val="single" w:color="000000" w:sz="4" w:space="0"/>
              <w:left w:val="single" w:color="000000" w:sz="4" w:space="0"/>
              <w:bottom w:val="nil"/>
              <w:right w:val="single" w:color="000000" w:sz="4" w:space="0"/>
            </w:tcBorders>
            <w:shd w:val="clear" w:color="auto" w:fill="auto"/>
            <w:vAlign w:val="center"/>
          </w:tcPr>
          <w:p w14:paraId="04DA27F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成本指标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5014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成本每吨水增加0.52元</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A41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≤2元/吨</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F5A6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6BED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338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w:t>
            </w:r>
          </w:p>
        </w:tc>
      </w:tr>
      <w:tr w14:paraId="3CE7E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3CBB19F4">
            <w:pPr>
              <w:jc w:val="center"/>
              <w:rPr>
                <w:rFonts w:hint="eastAsia" w:ascii="仿宋" w:hAnsi="仿宋" w:eastAsia="仿宋" w:cs="仿宋"/>
                <w:i w:val="0"/>
                <w:iCs w:val="0"/>
                <w:color w:val="000000"/>
                <w:sz w:val="24"/>
                <w:szCs w:val="24"/>
                <w:u w:val="none"/>
              </w:rPr>
            </w:pP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2258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效益指标(30分)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1D13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经济效益指标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81E7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年产值</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FB8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≥1410万元</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07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1410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8B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85A2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14:paraId="2A56F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7810D77B">
            <w:pPr>
              <w:jc w:val="center"/>
              <w:rPr>
                <w:rFonts w:hint="eastAsia" w:ascii="仿宋" w:hAnsi="仿宋" w:eastAsia="仿宋" w:cs="仿宋"/>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FF415">
            <w:pPr>
              <w:jc w:val="center"/>
              <w:rPr>
                <w:rFonts w:hint="eastAsia" w:ascii="仿宋" w:hAnsi="仿宋" w:eastAsia="仿宋" w:cs="仿宋"/>
                <w:i w:val="0"/>
                <w:iCs w:val="0"/>
                <w:color w:val="000000"/>
                <w:sz w:val="24"/>
                <w:szCs w:val="24"/>
                <w:u w:val="none"/>
              </w:rPr>
            </w:pPr>
          </w:p>
        </w:tc>
        <w:tc>
          <w:tcPr>
            <w:tcW w:w="1237" w:type="dxa"/>
            <w:tcBorders>
              <w:top w:val="single" w:color="000000" w:sz="4" w:space="0"/>
              <w:left w:val="single" w:color="000000" w:sz="4" w:space="0"/>
              <w:bottom w:val="nil"/>
              <w:right w:val="single" w:color="000000" w:sz="4" w:space="0"/>
            </w:tcBorders>
            <w:shd w:val="clear" w:color="auto" w:fill="auto"/>
            <w:vAlign w:val="center"/>
          </w:tcPr>
          <w:p w14:paraId="7BB1FC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社会效益指标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27693">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城区污水处理占有率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87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DAF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100</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2D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0F5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r w14:paraId="24E4F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4751C8BA">
            <w:pPr>
              <w:jc w:val="center"/>
              <w:rPr>
                <w:rFonts w:hint="eastAsia" w:ascii="仿宋" w:hAnsi="仿宋" w:eastAsia="仿宋" w:cs="仿宋"/>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3EB98">
            <w:pPr>
              <w:jc w:val="center"/>
              <w:rPr>
                <w:rFonts w:hint="eastAsia" w:ascii="仿宋" w:hAnsi="仿宋" w:eastAsia="仿宋" w:cs="仿宋"/>
                <w:i w:val="0"/>
                <w:iCs w:val="0"/>
                <w:color w:val="000000"/>
                <w:sz w:val="24"/>
                <w:szCs w:val="24"/>
                <w:u w:val="none"/>
              </w:rPr>
            </w:pPr>
          </w:p>
        </w:tc>
        <w:tc>
          <w:tcPr>
            <w:tcW w:w="1237" w:type="dxa"/>
            <w:tcBorders>
              <w:top w:val="single" w:color="000000" w:sz="4" w:space="0"/>
              <w:left w:val="single" w:color="000000" w:sz="4" w:space="0"/>
              <w:bottom w:val="nil"/>
              <w:right w:val="single" w:color="000000" w:sz="4" w:space="0"/>
            </w:tcBorders>
            <w:shd w:val="clear" w:color="auto" w:fill="auto"/>
            <w:vAlign w:val="center"/>
          </w:tcPr>
          <w:p w14:paraId="527BE15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生态效益指标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1100">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污水处理率</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75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城市污水处理能力提升，有效改善生态环境。</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EC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达成预期指标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8B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B3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14:paraId="5C9EA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8"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1713F398">
            <w:pPr>
              <w:jc w:val="center"/>
              <w:rPr>
                <w:rFonts w:hint="eastAsia" w:ascii="仿宋" w:hAnsi="仿宋" w:eastAsia="仿宋" w:cs="仿宋"/>
                <w:i w:val="0"/>
                <w:iCs w:val="0"/>
                <w:color w:val="000000"/>
                <w:sz w:val="24"/>
                <w:szCs w:val="24"/>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C3BCF">
            <w:pPr>
              <w:jc w:val="center"/>
              <w:rPr>
                <w:rFonts w:hint="eastAsia" w:ascii="仿宋" w:hAnsi="仿宋" w:eastAsia="仿宋" w:cs="仿宋"/>
                <w:i w:val="0"/>
                <w:iCs w:val="0"/>
                <w:color w:val="000000"/>
                <w:sz w:val="24"/>
                <w:szCs w:val="24"/>
                <w:u w:val="none"/>
              </w:rPr>
            </w:pPr>
          </w:p>
        </w:tc>
        <w:tc>
          <w:tcPr>
            <w:tcW w:w="1237" w:type="dxa"/>
            <w:tcBorders>
              <w:top w:val="single" w:color="000000" w:sz="4" w:space="0"/>
              <w:left w:val="single" w:color="000000" w:sz="4" w:space="0"/>
              <w:bottom w:val="nil"/>
              <w:right w:val="single" w:color="000000" w:sz="4" w:space="0"/>
            </w:tcBorders>
            <w:shd w:val="clear" w:color="auto" w:fill="auto"/>
            <w:vAlign w:val="center"/>
          </w:tcPr>
          <w:p w14:paraId="5898FEC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可持续影响指标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A749B">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项目管护长效机制</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F40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建立健全相关制度</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A75E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达成预期指标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3DA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2D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r>
      <w:tr w14:paraId="6ACAF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noWrap/>
            <w:textDirection w:val="tbRlV"/>
            <w:vAlign w:val="center"/>
          </w:tcPr>
          <w:p w14:paraId="5714A85C">
            <w:pPr>
              <w:jc w:val="center"/>
              <w:rPr>
                <w:rFonts w:hint="eastAsia" w:ascii="仿宋" w:hAnsi="仿宋" w:eastAsia="仿宋" w:cs="仿宋"/>
                <w:i w:val="0"/>
                <w:iCs w:val="0"/>
                <w:color w:val="000000"/>
                <w:sz w:val="24"/>
                <w:szCs w:val="24"/>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306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满意度指标(10分)</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AD1D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满意度</w:t>
            </w:r>
          </w:p>
          <w:p w14:paraId="7E3DF7D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指标</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B67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城市居民对项目实施的满意度</w:t>
            </w:r>
          </w:p>
        </w:tc>
        <w:tc>
          <w:tcPr>
            <w:tcW w:w="12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93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争取满意度95%以上</w:t>
            </w:r>
          </w:p>
        </w:tc>
        <w:tc>
          <w:tcPr>
            <w:tcW w:w="10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8E0B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达成预期指标</w:t>
            </w:r>
          </w:p>
        </w:tc>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DB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7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1E07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r>
    </w:tbl>
    <w:p w14:paraId="649379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黑体" w:hAnsi="黑体" w:eastAsia="黑体" w:cs="黑体"/>
          <w:i w:val="0"/>
          <w:iCs w:val="0"/>
          <w:caps w:val="0"/>
          <w:color w:val="333333"/>
          <w:spacing w:val="0"/>
          <w:sz w:val="32"/>
          <w:szCs w:val="32"/>
          <w:shd w:val="clear" w:fill="FFFFFF"/>
        </w:rPr>
      </w:pPr>
      <w:r>
        <w:rPr>
          <w:rFonts w:hint="eastAsia" w:ascii="黑体" w:hAnsi="黑体" w:eastAsia="黑体" w:cs="黑体"/>
          <w:i w:val="0"/>
          <w:iCs w:val="0"/>
          <w:caps w:val="0"/>
          <w:color w:val="333333"/>
          <w:spacing w:val="0"/>
          <w:sz w:val="32"/>
          <w:szCs w:val="32"/>
          <w:shd w:val="clear" w:fill="FFFFFF"/>
        </w:rPr>
        <w:t>四、绩效评价指标分析</w:t>
      </w:r>
    </w:p>
    <w:p w14:paraId="1DD1E58A">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从决策指标来看，项目绩效目标明确，绩效指标设置合理。 </w:t>
      </w:r>
    </w:p>
    <w:p w14:paraId="7BF287D5">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从过程指标来看，专项资金使用规范，符合相关规定，预算执行率高；业务管理方面，组织机构健全，各相关股室责任明确。 </w:t>
      </w:r>
    </w:p>
    <w:p w14:paraId="21BA7A6F">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从产出指标来看，城区污水处理运行费项目已完成计划数量，污水处理质量达标率达到 100%。 </w:t>
      </w:r>
    </w:p>
    <w:p w14:paraId="4484880D">
      <w:pPr>
        <w:keepNext w:val="0"/>
        <w:keepLines w:val="0"/>
        <w:widowControl/>
        <w:suppressLineNumbers w:val="0"/>
        <w:ind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从效益指标来看，城区污水处理厂运行费用项目的实施改善了城市的环境，提升了城市形象和人民的生活幸福感。</w:t>
      </w:r>
    </w:p>
    <w:p w14:paraId="4937A6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黑体" w:hAnsi="黑体" w:eastAsia="黑体" w:cs="黑体"/>
          <w:i w:val="0"/>
          <w:iCs w:val="0"/>
          <w:caps w:val="0"/>
          <w:color w:val="333333"/>
          <w:spacing w:val="0"/>
          <w:sz w:val="32"/>
          <w:szCs w:val="32"/>
          <w:shd w:val="clear" w:fill="FFFFFF"/>
          <w:lang w:val="en-US" w:eastAsia="zh-CN"/>
        </w:rPr>
      </w:pPr>
      <w:r>
        <w:rPr>
          <w:rFonts w:hint="eastAsia" w:ascii="黑体" w:hAnsi="黑体" w:eastAsia="黑体" w:cs="黑体"/>
          <w:i w:val="0"/>
          <w:iCs w:val="0"/>
          <w:caps w:val="0"/>
          <w:color w:val="333333"/>
          <w:spacing w:val="0"/>
          <w:sz w:val="32"/>
          <w:szCs w:val="32"/>
          <w:shd w:val="clear" w:fill="FFFFFF"/>
        </w:rPr>
        <w:t>五、主要经验及做法</w:t>
      </w:r>
    </w:p>
    <w:p w14:paraId="023F1B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i w:val="0"/>
          <w:iCs w:val="0"/>
          <w:caps w:val="0"/>
          <w:color w:val="333333"/>
          <w:spacing w:val="0"/>
          <w:sz w:val="32"/>
          <w:szCs w:val="32"/>
          <w:shd w:val="clear" w:fill="FFFFFF"/>
          <w:lang w:val="en-US" w:eastAsia="zh-CN"/>
        </w:rPr>
        <w:t xml:space="preserve">  在城区污水处理厂项目中，贯彻落实资金监管，及时拨付资金，及时汇报项目开展情况，做到上传下达，以便及时对问题进行整改，形成严格、科学、高效的运行机制。</w:t>
      </w:r>
    </w:p>
    <w:p w14:paraId="6B5A61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黑体" w:hAnsi="黑体" w:eastAsia="黑体" w:cs="黑体"/>
          <w:i w:val="0"/>
          <w:iCs w:val="0"/>
          <w:caps w:val="0"/>
          <w:color w:val="333333"/>
          <w:spacing w:val="0"/>
          <w:sz w:val="32"/>
          <w:szCs w:val="32"/>
          <w:shd w:val="clear" w:fill="FFFFFF"/>
          <w:lang w:val="en-US" w:eastAsia="zh-CN"/>
        </w:rPr>
      </w:pPr>
      <w:r>
        <w:rPr>
          <w:rFonts w:hint="eastAsia" w:ascii="黑体" w:hAnsi="黑体" w:eastAsia="黑体" w:cs="黑体"/>
          <w:i w:val="0"/>
          <w:iCs w:val="0"/>
          <w:caps w:val="0"/>
          <w:color w:val="333333"/>
          <w:spacing w:val="0"/>
          <w:sz w:val="32"/>
          <w:szCs w:val="32"/>
          <w:shd w:val="clear" w:fill="FFFFFF"/>
        </w:rPr>
        <w:t>六、存在问题及原因分析</w:t>
      </w:r>
    </w:p>
    <w:p w14:paraId="7EDEA7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由于财政资金紧张，</w:t>
      </w:r>
      <w:r>
        <w:rPr>
          <w:rFonts w:hint="eastAsia" w:ascii="仿宋" w:hAnsi="仿宋" w:eastAsia="仿宋" w:cs="仿宋"/>
          <w:i w:val="0"/>
          <w:iCs w:val="0"/>
          <w:caps w:val="0"/>
          <w:color w:val="333333"/>
          <w:spacing w:val="0"/>
          <w:sz w:val="32"/>
          <w:szCs w:val="32"/>
          <w:shd w:val="clear" w:fill="FFFFFF"/>
          <w:lang w:eastAsia="zh-CN"/>
        </w:rPr>
        <w:t>城区</w:t>
      </w:r>
      <w:r>
        <w:rPr>
          <w:rFonts w:hint="eastAsia" w:ascii="仿宋" w:hAnsi="仿宋" w:eastAsia="仿宋" w:cs="仿宋"/>
          <w:i w:val="0"/>
          <w:iCs w:val="0"/>
          <w:caps w:val="0"/>
          <w:color w:val="333333"/>
          <w:spacing w:val="0"/>
          <w:sz w:val="32"/>
          <w:szCs w:val="32"/>
          <w:shd w:val="clear" w:fill="FFFFFF"/>
        </w:rPr>
        <w:t>污水处理</w:t>
      </w:r>
      <w:r>
        <w:rPr>
          <w:rFonts w:hint="eastAsia" w:ascii="仿宋" w:hAnsi="仿宋" w:eastAsia="仿宋" w:cs="仿宋"/>
          <w:i w:val="0"/>
          <w:iCs w:val="0"/>
          <w:caps w:val="0"/>
          <w:color w:val="333333"/>
          <w:spacing w:val="0"/>
          <w:sz w:val="32"/>
          <w:szCs w:val="32"/>
          <w:shd w:val="clear" w:fill="FFFFFF"/>
          <w:lang w:eastAsia="zh-CN"/>
        </w:rPr>
        <w:t>厂运行费用</w:t>
      </w:r>
      <w:r>
        <w:rPr>
          <w:rFonts w:hint="eastAsia" w:ascii="仿宋" w:hAnsi="仿宋" w:eastAsia="仿宋" w:cs="仿宋"/>
          <w:i w:val="0"/>
          <w:iCs w:val="0"/>
          <w:caps w:val="0"/>
          <w:color w:val="333333"/>
          <w:spacing w:val="0"/>
          <w:sz w:val="32"/>
          <w:szCs w:val="32"/>
          <w:shd w:val="clear" w:fill="FFFFFF"/>
        </w:rPr>
        <w:t>项目资金未能按计划及时支付。</w:t>
      </w:r>
    </w:p>
    <w:p w14:paraId="07576F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right="0" w:firstLine="640" w:firstLineChars="200"/>
        <w:jc w:val="both"/>
        <w:rPr>
          <w:rFonts w:hint="eastAsia" w:ascii="黑体" w:hAnsi="黑体" w:eastAsia="黑体" w:cs="黑体"/>
          <w:i w:val="0"/>
          <w:iCs w:val="0"/>
          <w:caps w:val="0"/>
          <w:color w:val="333333"/>
          <w:spacing w:val="0"/>
          <w:sz w:val="32"/>
          <w:szCs w:val="32"/>
          <w:shd w:val="clear" w:fill="FFFFFF"/>
        </w:rPr>
      </w:pPr>
      <w:r>
        <w:rPr>
          <w:rFonts w:hint="eastAsia" w:ascii="黑体" w:hAnsi="黑体" w:eastAsia="黑体" w:cs="黑体"/>
          <w:i w:val="0"/>
          <w:iCs w:val="0"/>
          <w:caps w:val="0"/>
          <w:color w:val="333333"/>
          <w:spacing w:val="0"/>
          <w:sz w:val="32"/>
          <w:szCs w:val="32"/>
          <w:shd w:val="clear" w:fill="FFFFFF"/>
          <w:lang w:val="en-US" w:eastAsia="zh-CN"/>
        </w:rPr>
        <w:t>七、</w:t>
      </w:r>
      <w:r>
        <w:rPr>
          <w:rFonts w:hint="eastAsia" w:ascii="黑体" w:hAnsi="黑体" w:eastAsia="黑体" w:cs="黑体"/>
          <w:i w:val="0"/>
          <w:iCs w:val="0"/>
          <w:caps w:val="0"/>
          <w:color w:val="333333"/>
          <w:spacing w:val="0"/>
          <w:sz w:val="32"/>
          <w:szCs w:val="32"/>
          <w:shd w:val="clear" w:fill="FFFFFF"/>
        </w:rPr>
        <w:t>下一步措施</w:t>
      </w:r>
    </w:p>
    <w:p w14:paraId="37C6F2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ind w:left="0" w:right="0" w:firstLine="420"/>
        <w:jc w:val="both"/>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规范项目资金使用管理，</w:t>
      </w:r>
      <w:r>
        <w:rPr>
          <w:rFonts w:hint="eastAsia" w:ascii="仿宋" w:hAnsi="仿宋" w:eastAsia="仿宋" w:cs="仿宋"/>
          <w:i w:val="0"/>
          <w:iCs w:val="0"/>
          <w:caps w:val="0"/>
          <w:color w:val="333333"/>
          <w:spacing w:val="0"/>
          <w:sz w:val="32"/>
          <w:szCs w:val="32"/>
          <w:shd w:val="clear" w:fill="FFFFFF"/>
          <w:lang w:eastAsia="zh-CN"/>
        </w:rPr>
        <w:t>保证资金使用合规，</w:t>
      </w:r>
      <w:r>
        <w:rPr>
          <w:rFonts w:hint="eastAsia" w:ascii="仿宋" w:hAnsi="仿宋" w:eastAsia="仿宋" w:cs="仿宋"/>
          <w:i w:val="0"/>
          <w:iCs w:val="0"/>
          <w:caps w:val="0"/>
          <w:color w:val="333333"/>
          <w:spacing w:val="0"/>
          <w:sz w:val="32"/>
          <w:szCs w:val="32"/>
          <w:shd w:val="clear" w:fill="FFFFFF"/>
        </w:rPr>
        <w:t>确保完成项目建设绩效目标，切实提高资金使用效益。</w:t>
      </w:r>
    </w:p>
    <w:p w14:paraId="62934A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xOGYzOWZmYjkyNjBhM2ZiZWRmNzFlMjU4ZTE3OWEifQ=="/>
  </w:docVars>
  <w:rsids>
    <w:rsidRoot w:val="3F8C00D2"/>
    <w:rsid w:val="01C53AD5"/>
    <w:rsid w:val="07301E72"/>
    <w:rsid w:val="0B1964C2"/>
    <w:rsid w:val="284C76E0"/>
    <w:rsid w:val="2C1B6BE8"/>
    <w:rsid w:val="30304FC3"/>
    <w:rsid w:val="31461C47"/>
    <w:rsid w:val="3F8C00D2"/>
    <w:rsid w:val="45A243BC"/>
    <w:rsid w:val="51640797"/>
    <w:rsid w:val="658C6DDB"/>
    <w:rsid w:val="74F51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2681</Words>
  <Characters>2847</Characters>
  <Lines>0</Lines>
  <Paragraphs>0</Paragraphs>
  <TotalTime>36</TotalTime>
  <ScaleCrop>false</ScaleCrop>
  <LinksUpToDate>false</LinksUpToDate>
  <CharactersWithSpaces>2862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2023-06-27T02:52:00Z</dcterms:created>
  <dc:creator>11</dc:creator>
  <cp:lastModifiedBy>妙妙</cp:lastModifiedBy>
  <dcterms:modified xsi:type="dcterms:W3CDTF">2024-09-24T01:30:31Z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9EB79EF1D5A240C1A0E8AF10BEF2A535_13</vt:lpwstr>
  </property>
</Properties>
</file>