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both"/>
        <w:rPr>
          <w:rFonts w:ascii="黑体" w:hAnsi="黑体" w:eastAsia="黑体" w:cs="宋体"/>
          <w:bCs/>
          <w:sz w:val="44"/>
          <w:szCs w:val="44"/>
        </w:rPr>
      </w:pPr>
      <w:r>
        <w:rPr>
          <w:rFonts w:ascii="黑体" w:hAnsi="黑体" w:eastAsia="黑体" w:cs="宋体"/>
          <w:bCs/>
          <w:sz w:val="44"/>
          <w:szCs w:val="44"/>
        </w:rPr>
        <w:t>关于印发黄山</w:t>
      </w:r>
      <w:r>
        <w:rPr>
          <w:rFonts w:hint="eastAsia" w:ascii="黑体" w:hAnsi="黑体" w:eastAsia="黑体" w:cs="宋体"/>
          <w:bCs/>
          <w:sz w:val="44"/>
          <w:szCs w:val="44"/>
        </w:rPr>
        <w:t>区</w:t>
      </w:r>
      <w:r>
        <w:rPr>
          <w:rFonts w:ascii="黑体" w:hAnsi="黑体" w:eastAsia="黑体" w:cs="宋体"/>
          <w:bCs/>
          <w:sz w:val="44"/>
          <w:szCs w:val="44"/>
        </w:rPr>
        <w:t>推进</w:t>
      </w:r>
      <w:r>
        <w:rPr>
          <w:rFonts w:hint="eastAsia" w:ascii="黑体" w:hAnsi="黑体" w:eastAsia="黑体" w:cs="宋体"/>
          <w:bCs/>
          <w:sz w:val="44"/>
          <w:szCs w:val="44"/>
        </w:rPr>
        <w:t>工伤保险“一</w:t>
      </w:r>
      <w:r>
        <w:rPr>
          <w:rFonts w:ascii="黑体" w:hAnsi="黑体" w:eastAsia="黑体" w:cs="宋体"/>
          <w:bCs/>
          <w:sz w:val="44"/>
          <w:szCs w:val="44"/>
        </w:rPr>
        <w:t>件事</w:t>
      </w:r>
    </w:p>
    <w:p>
      <w:pPr>
        <w:spacing w:line="560" w:lineRule="exact"/>
        <w:jc w:val="center"/>
        <w:rPr>
          <w:rFonts w:hint="eastAsia" w:ascii="黑体" w:hAnsi="黑体" w:eastAsia="黑体" w:cs="宋体"/>
          <w:bCs/>
          <w:sz w:val="44"/>
          <w:szCs w:val="44"/>
          <w:lang w:eastAsia="zh-CN"/>
        </w:rPr>
      </w:pPr>
      <w:r>
        <w:rPr>
          <w:rFonts w:ascii="黑体" w:hAnsi="黑体" w:eastAsia="黑体" w:cs="宋体"/>
          <w:bCs/>
          <w:sz w:val="44"/>
          <w:szCs w:val="44"/>
        </w:rPr>
        <w:t>一次办</w:t>
      </w:r>
      <w:r>
        <w:rPr>
          <w:rFonts w:hint="eastAsia" w:ascii="黑体" w:hAnsi="黑体" w:eastAsia="黑体" w:cs="宋体"/>
          <w:bCs/>
          <w:sz w:val="44"/>
          <w:szCs w:val="44"/>
        </w:rPr>
        <w:t>”</w:t>
      </w:r>
      <w:r>
        <w:rPr>
          <w:rFonts w:ascii="黑体" w:hAnsi="黑体" w:eastAsia="黑体" w:cs="宋体"/>
          <w:bCs/>
          <w:sz w:val="44"/>
          <w:szCs w:val="44"/>
        </w:rPr>
        <w:t>工作</w:t>
      </w:r>
      <w:r>
        <w:rPr>
          <w:rFonts w:hint="eastAsia" w:ascii="黑体" w:hAnsi="黑体" w:eastAsia="黑体" w:cs="宋体"/>
          <w:bCs/>
          <w:sz w:val="44"/>
          <w:szCs w:val="44"/>
        </w:rPr>
        <w:t>实施</w:t>
      </w:r>
      <w:r>
        <w:rPr>
          <w:rFonts w:ascii="黑体" w:hAnsi="黑体" w:eastAsia="黑体" w:cs="宋体"/>
          <w:bCs/>
          <w:sz w:val="44"/>
          <w:szCs w:val="44"/>
        </w:rPr>
        <w:t>方案的通知</w:t>
      </w:r>
      <w:r>
        <w:rPr>
          <w:rFonts w:hint="eastAsia" w:ascii="黑体" w:hAnsi="黑体" w:eastAsia="黑体" w:cs="宋体"/>
          <w:bCs/>
          <w:sz w:val="44"/>
          <w:szCs w:val="44"/>
          <w:lang w:eastAsia="zh-CN"/>
        </w:rPr>
        <w:t>（征求意见稿）</w:t>
      </w:r>
    </w:p>
    <w:p>
      <w:pPr>
        <w:spacing w:line="560" w:lineRule="exact"/>
        <w:jc w:val="center"/>
        <w:rPr>
          <w:rFonts w:ascii="黑体" w:hAnsi="黑体" w:eastAsia="黑体" w:cs="宋体"/>
          <w:bCs/>
          <w:sz w:val="44"/>
          <w:szCs w:val="44"/>
        </w:rPr>
      </w:pPr>
    </w:p>
    <w:p>
      <w:pPr>
        <w:spacing w:line="56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各有关单位：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为贯彻落实《安徽省加快推进“一件事一次办“打造政务服务升级版工作实施方案》（皖政办秘〔2022〕60号）、《关于印发安徽省推进工伤保险“一件事一次办”工作实施方案的通知》（皖人社秘〔2023〕160号）和《关于印发黄山市推进工伤保险“一件事一次办”工作实施方案的通知》（黄人社秘〔2023〕314号）精神，持续提升工伤保险工作标准化、规范化、便利化水平，结合我区工作实际，制定本方案。</w:t>
      </w:r>
    </w:p>
    <w:p>
      <w:pPr>
        <w:pStyle w:val="14"/>
        <w:numPr>
          <w:ilvl w:val="0"/>
          <w:numId w:val="1"/>
        </w:numPr>
        <w:autoSpaceDE w:val="0"/>
        <w:spacing w:line="560" w:lineRule="exact"/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总体要求</w:t>
      </w:r>
    </w:p>
    <w:p>
      <w:p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习近平新时代中国特色社会主义思想为指导，全面贯彻落实党的二十大精神，围绕用人单位和工伤职工眼里的“工伤一件事”，对工伤认定、劳动能力鉴定以及工伤待遇申领有关事项进行梳理整合，按照“一次申请—拆包推送—按责办结—分步反馈”的实施思路，实现“工伤一件事”所涉相关服务事项打包办理，最大限度减时间、减环节、减材料、减跑动，提升用人单位和工伤职工获得感、幸福感和满意度。</w:t>
      </w:r>
    </w:p>
    <w:p>
      <w:pPr>
        <w:pStyle w:val="14"/>
        <w:numPr>
          <w:ilvl w:val="0"/>
          <w:numId w:val="1"/>
        </w:numPr>
        <w:autoSpaceDE w:val="0"/>
        <w:spacing w:line="560" w:lineRule="exact"/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服务对象</w:t>
      </w:r>
    </w:p>
    <w:p>
      <w:pPr>
        <w:autoSpaceDE w:val="0"/>
        <w:spacing w:line="560" w:lineRule="exac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用人单位、工伤职工或者其近亲属</w:t>
      </w:r>
    </w:p>
    <w:p>
      <w:pPr>
        <w:numPr>
          <w:ilvl w:val="0"/>
          <w:numId w:val="2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联办事项</w:t>
      </w:r>
    </w:p>
    <w:p>
      <w:p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我区工伤保险“一件事一次办”业务范围包括：</w:t>
      </w: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_GB2312" w:eastAsia="仿宋_GB2312"/>
          <w:sz w:val="30"/>
          <w:szCs w:val="30"/>
        </w:rPr>
        <w:t>工伤认定申请；</w:t>
      </w: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</w:rPr>
        <w:t> 劳动能力鉴定申请；</w:t>
      </w:r>
      <w:r>
        <w:rPr>
          <w:rFonts w:hint="eastAsia" w:ascii="仿宋" w:hAnsi="仿宋" w:eastAsia="仿宋" w:cs="仿宋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转诊转院申请确认；</w:t>
      </w:r>
      <w:r>
        <w:rPr>
          <w:rFonts w:hint="eastAsia" w:ascii="仿宋" w:hAnsi="仿宋" w:eastAsia="仿宋" w:cs="仿宋"/>
          <w:sz w:val="30"/>
          <w:szCs w:val="30"/>
        </w:rPr>
        <w:t>4.</w:t>
      </w:r>
      <w:r>
        <w:rPr>
          <w:rFonts w:hint="eastAsia" w:ascii="仿宋_GB2312" w:eastAsia="仿宋_GB2312"/>
          <w:sz w:val="30"/>
          <w:szCs w:val="30"/>
        </w:rPr>
        <w:t>工伤康复申请确认；</w:t>
      </w: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_GB2312" w:eastAsia="仿宋_GB2312"/>
          <w:sz w:val="30"/>
          <w:szCs w:val="30"/>
        </w:rPr>
        <w:t>旧伤复发申请确认；</w:t>
      </w:r>
      <w:r>
        <w:rPr>
          <w:rFonts w:hint="eastAsia" w:ascii="仿宋" w:hAnsi="仿宋" w:eastAsia="仿宋" w:cs="仿宋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</w:rPr>
        <w:t>辅助器具配置或更换申请；</w:t>
      </w:r>
      <w:r>
        <w:rPr>
          <w:rFonts w:hint="eastAsia" w:ascii="仿宋" w:hAnsi="仿宋" w:eastAsia="仿宋" w:cs="仿宋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 工伤医疗（康复）费用申报；</w:t>
      </w:r>
      <w:r>
        <w:rPr>
          <w:rFonts w:hint="eastAsia" w:ascii="仿宋" w:hAnsi="仿宋" w:eastAsia="仿宋" w:cs="仿宋"/>
          <w:sz w:val="30"/>
          <w:szCs w:val="30"/>
        </w:rPr>
        <w:t>8.</w:t>
      </w:r>
      <w:r>
        <w:rPr>
          <w:rFonts w:hint="eastAsia" w:ascii="仿宋_GB2312" w:eastAsia="仿宋_GB2312"/>
          <w:sz w:val="30"/>
          <w:szCs w:val="30"/>
        </w:rPr>
        <w:t>住院伙食补助费申领；</w:t>
      </w:r>
      <w:r>
        <w:rPr>
          <w:rFonts w:hint="eastAsia" w:ascii="仿宋" w:hAnsi="仿宋" w:eastAsia="仿宋" w:cs="仿宋"/>
          <w:sz w:val="30"/>
          <w:szCs w:val="30"/>
        </w:rPr>
        <w:t>9.</w:t>
      </w:r>
      <w:r>
        <w:rPr>
          <w:rFonts w:hint="eastAsia" w:ascii="仿宋_GB2312" w:eastAsia="仿宋_GB2312"/>
          <w:sz w:val="30"/>
          <w:szCs w:val="30"/>
        </w:rPr>
        <w:t> 统筹地区以外交通食宿费申领；</w:t>
      </w:r>
      <w:r>
        <w:rPr>
          <w:rFonts w:hint="eastAsia" w:ascii="仿宋" w:hAnsi="仿宋" w:eastAsia="仿宋" w:cs="仿宋"/>
          <w:sz w:val="30"/>
          <w:szCs w:val="30"/>
        </w:rPr>
        <w:t>10.</w:t>
      </w:r>
      <w:r>
        <w:rPr>
          <w:rFonts w:hint="eastAsia" w:ascii="仿宋_GB2312" w:eastAsia="仿宋_GB2312"/>
          <w:sz w:val="30"/>
          <w:szCs w:val="30"/>
        </w:rPr>
        <w:t>辅助器具配置（更换）费用申报；</w:t>
      </w:r>
      <w:r>
        <w:rPr>
          <w:rFonts w:hint="eastAsia" w:ascii="仿宋" w:hAnsi="仿宋" w:eastAsia="仿宋" w:cs="仿宋"/>
          <w:sz w:val="30"/>
          <w:szCs w:val="30"/>
        </w:rPr>
        <w:t>11.</w:t>
      </w:r>
      <w:r>
        <w:rPr>
          <w:rFonts w:hint="eastAsia" w:ascii="仿宋_GB2312" w:eastAsia="仿宋_GB2312"/>
          <w:sz w:val="30"/>
          <w:szCs w:val="30"/>
        </w:rPr>
        <w:t> 伤残待遇申领（一次性伤残补助金、伤残津贴和生活护理费）；</w:t>
      </w:r>
      <w:r>
        <w:rPr>
          <w:rFonts w:hint="eastAsia" w:ascii="仿宋" w:hAnsi="仿宋" w:eastAsia="仿宋" w:cs="仿宋"/>
          <w:sz w:val="30"/>
          <w:szCs w:val="30"/>
        </w:rPr>
        <w:t>12.</w:t>
      </w:r>
      <w:r>
        <w:rPr>
          <w:rFonts w:hint="eastAsia" w:ascii="仿宋_GB2312" w:eastAsia="仿宋_GB2312"/>
          <w:sz w:val="30"/>
          <w:szCs w:val="30"/>
        </w:rPr>
        <w:t> 一次性工伤医疗补助金申请；</w:t>
      </w:r>
      <w:r>
        <w:rPr>
          <w:rFonts w:hint="eastAsia" w:ascii="仿宋" w:hAnsi="仿宋" w:eastAsia="仿宋" w:cs="仿宋"/>
          <w:sz w:val="30"/>
          <w:szCs w:val="30"/>
        </w:rPr>
        <w:t>13.</w:t>
      </w:r>
      <w:r>
        <w:rPr>
          <w:rFonts w:hint="eastAsia" w:ascii="仿宋_GB2312" w:eastAsia="仿宋_GB2312"/>
          <w:sz w:val="30"/>
          <w:szCs w:val="30"/>
        </w:rPr>
        <w:t>一次性工亡补助金（含生活困难、预支</w:t>
      </w:r>
      <w:r>
        <w:rPr>
          <w:rFonts w:hint="eastAsia" w:ascii="仿宋" w:hAnsi="仿宋" w:eastAsia="仿宋" w:cs="仿宋"/>
          <w:sz w:val="30"/>
          <w:szCs w:val="30"/>
        </w:rPr>
        <w:t>50%</w:t>
      </w:r>
      <w:r>
        <w:rPr>
          <w:rFonts w:hint="eastAsia" w:ascii="仿宋_GB2312" w:eastAsia="仿宋_GB2312"/>
          <w:sz w:val="30"/>
          <w:szCs w:val="30"/>
        </w:rPr>
        <w:t>确认）；</w:t>
      </w:r>
      <w:r>
        <w:rPr>
          <w:rFonts w:hint="eastAsia" w:ascii="仿宋" w:hAnsi="仿宋" w:eastAsia="仿宋" w:cs="仿宋"/>
          <w:sz w:val="30"/>
          <w:szCs w:val="30"/>
        </w:rPr>
        <w:t>14.</w:t>
      </w:r>
      <w:r>
        <w:rPr>
          <w:rFonts w:hint="eastAsia" w:ascii="仿宋_GB2312" w:eastAsia="仿宋_GB2312"/>
          <w:sz w:val="30"/>
          <w:szCs w:val="30"/>
        </w:rPr>
        <w:t>丧葬补助金申领；</w:t>
      </w:r>
      <w:r>
        <w:rPr>
          <w:rFonts w:hint="eastAsia" w:ascii="仿宋" w:hAnsi="仿宋" w:eastAsia="仿宋" w:cs="仿宋"/>
          <w:sz w:val="30"/>
          <w:szCs w:val="30"/>
        </w:rPr>
        <w:t>15.</w:t>
      </w:r>
      <w:r>
        <w:rPr>
          <w:rFonts w:hint="eastAsia" w:ascii="仿宋_GB2312" w:eastAsia="仿宋_GB2312"/>
          <w:sz w:val="30"/>
          <w:szCs w:val="30"/>
        </w:rPr>
        <w:t> 供养亲属抚恤金申领。符合条件的单位和个人均可依法依规提出办理申请。</w:t>
      </w:r>
    </w:p>
    <w:p>
      <w:pPr>
        <w:numPr>
          <w:ilvl w:val="0"/>
          <w:numId w:val="2"/>
        </w:numPr>
        <w:autoSpaceDE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办理方式和流程</w:t>
      </w:r>
    </w:p>
    <w:p>
      <w:pPr>
        <w:numPr>
          <w:ilvl w:val="0"/>
          <w:numId w:val="3"/>
        </w:numPr>
        <w:autoSpaceDE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线上办理流程。</w:t>
      </w:r>
      <w:r>
        <w:rPr>
          <w:rFonts w:hint="eastAsia" w:ascii="仿宋_GB2312" w:eastAsia="仿宋_GB2312"/>
          <w:sz w:val="30"/>
          <w:szCs w:val="30"/>
        </w:rPr>
        <w:t>依托安徽政务服务平台，实现工伤保险“一件事一次办”网上申请，单位和个人根据实际需求线上自主选择办理工伤保险“一件事一次办”涉及的全部或部分事项，并上传有关申报材料，对于各事项重复材料或重复信息只需提交一次。工伤保险行政、经办、劳动能力鉴定部门同步获取受理信息和相关办理信息，开展联动审批，实现“一次登录、一键申请、一网通办”。</w:t>
      </w:r>
    </w:p>
    <w:p>
      <w:pPr>
        <w:numPr>
          <w:ilvl w:val="0"/>
          <w:numId w:val="3"/>
        </w:numPr>
        <w:autoSpaceDE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线下办理流程。</w:t>
      </w:r>
      <w:r>
        <w:rPr>
          <w:rFonts w:hint="eastAsia" w:ascii="仿宋_GB2312" w:eastAsia="仿宋_GB2312"/>
          <w:sz w:val="30"/>
          <w:szCs w:val="30"/>
        </w:rPr>
        <w:t>依托各级人社综合窗口，实行线上、线下同步受理，按照“前台综合受理、后台分类审批、综合窗口出件”的原则，符合条件的单位或个人（以下简称“申请人”）在法定时间内填写《黄山区工伤保险“一件事一次办”联办申请表》（附件1），根据实际情况勾选需要一次办的服务事项，提交联办申请，并提交各事项所需的申请材料，对于各事项重复材料只需提交一份。线下提交的联办申请执行如下处理规则：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提交联办申请后，由工伤保险行政、经办和劳动能力鉴定部门对申请事项和材料进行联办审核，申请事项存在冲突事项或者漏选前置事项的，指导申请人对申请事项进行调整，申报材料不完整的一次性告知申请人需要补正的全部材料；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当申请人提交的申报材料不完整时，受影响事项自动中止办理，待申请人补正完成后再恢复办理；已申请但不受影响事项在申请人补正期间，后台人员应按法定程序办理；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申请人所申请的事项存在前后关联的，后台人员应先完成前置事项的审核处理，再对后续事项进行办理；前置事项办理所产生的文书为后续事项办理所需材料时，由后台人员内部流转，无需申请人提供；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申请的事项存在前后关联的，后台人员完成前一事项审核后，应继续对已申请的后续事项进行办理，无需申请人再次申请；但后续事项因业务需要需申请人进一步完善材料的，可要求申请人二次确认，并提交补充资料；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当前置事项审核不通过时，后续受影响事项自动终止，不再继续办理，并由后台人员告知申请人办理结果；</w:t>
      </w:r>
    </w:p>
    <w:p>
      <w:pPr>
        <w:numPr>
          <w:ilvl w:val="0"/>
          <w:numId w:val="4"/>
        </w:numPr>
        <w:autoSpaceDE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各申请事项如涉及出件环节，后台人员每办理完成一个事项，需按照集约化、高效化的原则，采取窗口发放、快递送达、信息化推送等灵活多样的方式，将办理结果在法定时限内送达申请人。</w:t>
      </w:r>
    </w:p>
    <w:p>
      <w:pPr>
        <w:numPr>
          <w:ilvl w:val="0"/>
          <w:numId w:val="2"/>
        </w:numPr>
        <w:autoSpaceDE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工作要求</w:t>
      </w:r>
    </w:p>
    <w:p>
      <w:pPr>
        <w:numPr>
          <w:ilvl w:val="0"/>
          <w:numId w:val="5"/>
        </w:numPr>
        <w:autoSpaceDE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提高认识，认真实施。</w:t>
      </w:r>
      <w:r>
        <w:rPr>
          <w:rFonts w:hint="eastAsia" w:ascii="仿宋_GB2312" w:eastAsia="仿宋_GB2312"/>
          <w:sz w:val="30"/>
          <w:szCs w:val="30"/>
        </w:rPr>
        <w:t>工伤保险一件事一次办是深化“放管服”改革，优化营商环境的重要举措，是贯彻落实</w:t>
      </w:r>
      <w:r>
        <w:rPr>
          <w:rFonts w:hint="eastAsia" w:ascii="仿宋_GB2312" w:eastAsia="仿宋_GB2312"/>
          <w:sz w:val="30"/>
          <w:szCs w:val="30"/>
          <w:lang w:eastAsia="zh-CN"/>
        </w:rPr>
        <w:t>党的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二十大精神的具体体现。为此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,对</w:t>
      </w:r>
      <w:r>
        <w:rPr>
          <w:rFonts w:hint="eastAsia" w:ascii="仿宋_GB2312" w:eastAsia="仿宋_GB2312"/>
          <w:sz w:val="30"/>
          <w:szCs w:val="30"/>
        </w:rPr>
        <w:t>我区工伤一件事一次办工作，各相关部门要高度重视、提高认知，强化措施，做好部门有序衔接，把工伤“一件事一次办”落到实处。</w:t>
      </w:r>
    </w:p>
    <w:p>
      <w:pPr>
        <w:numPr>
          <w:ilvl w:val="0"/>
          <w:numId w:val="5"/>
        </w:numPr>
        <w:autoSpaceDE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加强协调，形成合力。</w:t>
      </w:r>
      <w:r>
        <w:rPr>
          <w:rFonts w:hint="eastAsia" w:ascii="仿宋_GB2312" w:eastAsia="仿宋_GB2312"/>
          <w:sz w:val="30"/>
          <w:szCs w:val="30"/>
        </w:rPr>
        <w:t>各相关部门要加强沟通协调，按照“数字赋能”要求，依托安徽省大数据平台逐步实现病历资料、交通事故责任划分、长三角医疗收费电子票据等数据共享、授权获取、联网查验，进一步提高工伤保险“一件事一次办”工作可及性，切实方便用人单位和个人。</w:t>
      </w:r>
    </w:p>
    <w:p>
      <w:pPr>
        <w:numPr>
          <w:ilvl w:val="0"/>
          <w:numId w:val="5"/>
        </w:numPr>
        <w:autoSpaceDE w:val="0"/>
        <w:spacing w:line="560" w:lineRule="exact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优化服务，务求实效。</w:t>
      </w:r>
      <w:r>
        <w:rPr>
          <w:rFonts w:hint="eastAsia" w:ascii="仿宋_GB2312" w:eastAsia="仿宋_GB2312"/>
          <w:sz w:val="30"/>
          <w:szCs w:val="30"/>
        </w:rPr>
        <w:t>围绕本方案，结合工作实际，不断完善办事指南，规范相关文本，在服务场所或网站上公示，方便办事群众查阅、索取或下载。采取多种形式，广泛开展宣传，及时做好政策解读，营造良好舆论氛围。</w:t>
      </w:r>
    </w:p>
    <w:p>
      <w:pPr>
        <w:numPr>
          <w:ilvl w:val="0"/>
          <w:numId w:val="0"/>
        </w:numPr>
        <w:autoSpaceDE w:val="0"/>
        <w:spacing w:line="560" w:lineRule="exact"/>
        <w:ind w:firstLine="6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联系人及联系方式：</w:t>
      </w:r>
    </w:p>
    <w:p>
      <w:pPr>
        <w:numPr>
          <w:ilvl w:val="0"/>
          <w:numId w:val="0"/>
        </w:numPr>
        <w:autoSpaceDE w:val="0"/>
        <w:spacing w:line="560" w:lineRule="exact"/>
        <w:ind w:firstLine="6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黄山区人社局社保股（认定、鉴定业务）：徐倩8533507</w:t>
      </w:r>
    </w:p>
    <w:p>
      <w:pPr>
        <w:numPr>
          <w:ilvl w:val="0"/>
          <w:numId w:val="0"/>
        </w:numPr>
        <w:autoSpaceDE w:val="0"/>
        <w:spacing w:line="560" w:lineRule="exact"/>
        <w:ind w:firstLine="6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黄山区社保局（待遇报销）：牛咏8535092、胡文倩8538761</w:t>
      </w:r>
    </w:p>
    <w:p>
      <w:pPr>
        <w:autoSpaceDE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1.黄山区工伤保险“一件事一次办”联办事项申请表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2.黄山区工伤保险“一件事一次办”办事指南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 黄山区工伤保险业务办理流程图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 关于印发安徽省推进工伤保险“一件事一次办”工作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实施方案的通知（皖人社秘〔2023〕160号）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ascii="仿宋_GB2312" w:eastAsia="仿宋_GB2312"/>
          <w:sz w:val="30"/>
          <w:szCs w:val="30"/>
        </w:rPr>
        <w:t>关于印发黄山</w:t>
      </w:r>
      <w:r>
        <w:rPr>
          <w:rFonts w:hint="eastAsia" w:ascii="仿宋_GB2312" w:eastAsia="仿宋_GB2312"/>
          <w:sz w:val="30"/>
          <w:szCs w:val="30"/>
        </w:rPr>
        <w:t>市</w:t>
      </w:r>
      <w:r>
        <w:rPr>
          <w:rFonts w:ascii="仿宋_GB2312" w:eastAsia="仿宋_GB2312"/>
          <w:sz w:val="30"/>
          <w:szCs w:val="30"/>
        </w:rPr>
        <w:t>推进</w:t>
      </w:r>
      <w:r>
        <w:rPr>
          <w:rFonts w:hint="eastAsia" w:ascii="仿宋_GB2312" w:eastAsia="仿宋_GB2312"/>
          <w:sz w:val="30"/>
          <w:szCs w:val="30"/>
        </w:rPr>
        <w:t>工伤保险“一</w:t>
      </w:r>
      <w:r>
        <w:rPr>
          <w:rFonts w:ascii="仿宋_GB2312" w:eastAsia="仿宋_GB2312"/>
          <w:sz w:val="30"/>
          <w:szCs w:val="30"/>
        </w:rPr>
        <w:t>件事一次办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工作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实施</w:t>
      </w:r>
      <w:r>
        <w:rPr>
          <w:rFonts w:ascii="仿宋_GB2312" w:eastAsia="仿宋_GB2312"/>
          <w:sz w:val="30"/>
          <w:szCs w:val="30"/>
        </w:rPr>
        <w:t>方案的通知</w:t>
      </w:r>
      <w:r>
        <w:rPr>
          <w:rFonts w:hint="eastAsia" w:ascii="仿宋_GB2312" w:eastAsia="仿宋_GB2312"/>
          <w:sz w:val="30"/>
          <w:szCs w:val="30"/>
        </w:rPr>
        <w:t>（黄人社秘〔2023〕314号）</w:t>
      </w:r>
    </w:p>
    <w:p>
      <w:pPr>
        <w:tabs>
          <w:tab w:val="left" w:pos="312"/>
        </w:tabs>
        <w:autoSpaceDE w:val="0"/>
        <w:spacing w:line="560" w:lineRule="exact"/>
        <w:ind w:left="596"/>
        <w:rPr>
          <w:rFonts w:ascii="仿宋_GB2312" w:eastAsia="仿宋_GB2312"/>
          <w:sz w:val="30"/>
          <w:szCs w:val="30"/>
        </w:rPr>
      </w:pPr>
    </w:p>
    <w:p>
      <w:pPr>
        <w:tabs>
          <w:tab w:val="left" w:pos="312"/>
        </w:tabs>
        <w:autoSpaceDE w:val="0"/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autoSpaceDE w:val="0"/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黄山市黄山区人力资源和社会保障局      黄山市公安局黄山分局</w:t>
      </w: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1" w:leftChars="-67" w:right="-483" w:rightChars="-230"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黄山市黄山区财政局          黄山市黄山区卫生健康委员会</w:t>
      </w: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right="-483" w:rightChars="-230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right="-483" w:rightChars="-230"/>
        <w:rPr>
          <w:rFonts w:ascii="仿宋_GB2312" w:eastAsia="仿宋_GB2312"/>
          <w:sz w:val="30"/>
          <w:szCs w:val="30"/>
        </w:rPr>
      </w:pPr>
    </w:p>
    <w:p>
      <w:pPr>
        <w:tabs>
          <w:tab w:val="center" w:pos="5529"/>
        </w:tabs>
        <w:autoSpaceDE w:val="0"/>
        <w:spacing w:line="560" w:lineRule="exact"/>
        <w:ind w:left="-141" w:leftChars="-67" w:right="-483" w:rightChars="-230" w:firstLine="4950" w:firstLineChars="16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黄山市黄山区数据资源管理局</w:t>
      </w: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</w:t>
      </w:r>
    </w:p>
    <w:p>
      <w:pPr>
        <w:tabs>
          <w:tab w:val="center" w:pos="5529"/>
        </w:tabs>
        <w:autoSpaceDE w:val="0"/>
        <w:spacing w:line="560" w:lineRule="exact"/>
        <w:ind w:left="-142" w:leftChars="-202" w:right="-483" w:rightChars="-230" w:hanging="282" w:hangingChars="94"/>
        <w:rPr>
          <w:rFonts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lang w:eastAsia="zh-CN"/>
        </w:rPr>
        <w:t>（主动公开）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</w:t>
      </w: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p>
      <w:pPr>
        <w:autoSpaceDE w:val="0"/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</w:tcPr>
          <w:p>
            <w:pPr>
              <w:autoSpaceDE w:val="0"/>
              <w:spacing w:line="560" w:lineRule="exact"/>
              <w:rPr>
                <w:rFonts w:hint="default" w:ascii="仿宋_GB2312" w:eastAsia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1"/>
                <w:w w:val="78"/>
                <w:kern w:val="0"/>
                <w:sz w:val="30"/>
                <w:szCs w:val="30"/>
                <w:u w:val="none"/>
                <w:fitText w:val="4500" w:id="178720083"/>
                <w:vertAlign w:val="baseline"/>
                <w:lang w:eastAsia="zh-CN"/>
              </w:rPr>
              <w:t>黄山市黄山区人力资源和社会保障局办公</w:t>
            </w:r>
            <w:r>
              <w:rPr>
                <w:rFonts w:hint="eastAsia" w:ascii="仿宋_GB2312" w:eastAsia="仿宋_GB2312"/>
                <w:spacing w:val="28"/>
                <w:w w:val="78"/>
                <w:kern w:val="0"/>
                <w:sz w:val="30"/>
                <w:szCs w:val="30"/>
                <w:u w:val="none"/>
                <w:fitText w:val="4500" w:id="178720083"/>
                <w:vertAlign w:val="baseline"/>
                <w:lang w:eastAsia="zh-CN"/>
              </w:rPr>
              <w:t>室</w:t>
            </w:r>
            <w:r>
              <w:rPr>
                <w:rFonts w:hint="eastAsia" w:ascii="仿宋_GB2312" w:eastAsia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pacing w:val="1"/>
                <w:w w:val="83"/>
                <w:kern w:val="0"/>
                <w:sz w:val="30"/>
                <w:szCs w:val="30"/>
                <w:u w:val="none"/>
                <w:fitText w:val="2562" w:id="1194551591"/>
                <w:vertAlign w:val="baseline"/>
                <w:lang w:val="en-US" w:eastAsia="zh-CN"/>
              </w:rPr>
              <w:t>2023年11月27日印</w:t>
            </w:r>
            <w:r>
              <w:rPr>
                <w:rFonts w:hint="eastAsia" w:ascii="仿宋_GB2312" w:eastAsia="仿宋_GB2312"/>
                <w:spacing w:val="-2"/>
                <w:w w:val="83"/>
                <w:kern w:val="0"/>
                <w:sz w:val="30"/>
                <w:szCs w:val="30"/>
                <w:u w:val="none"/>
                <w:fitText w:val="2562" w:id="1194551591"/>
                <w:vertAlign w:val="baseline"/>
                <w:lang w:val="en-US" w:eastAsia="zh-CN"/>
              </w:rPr>
              <w:t>发</w:t>
            </w:r>
          </w:p>
        </w:tc>
      </w:tr>
    </w:tbl>
    <w:p>
      <w:pPr>
        <w:autoSpaceDE w:val="0"/>
        <w:spacing w:line="560" w:lineRule="exact"/>
        <w:rPr>
          <w:rFonts w:ascii="仿宋_GB2312" w:eastAsia="仿宋_GB2312"/>
          <w:sz w:val="30"/>
          <w:szCs w:val="30"/>
          <w:u w:val="single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2098" w:right="1474" w:bottom="1701" w:left="1588" w:header="794" w:footer="964" w:gutter="0"/>
          <w:cols w:space="720" w:num="1"/>
          <w:docGrid w:type="lines" w:linePitch="312" w:charSpace="0"/>
        </w:sectPr>
      </w:pPr>
    </w:p>
    <w:p>
      <w:pPr>
        <w:pStyle w:val="2"/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sectPr>
      <w:pgSz w:w="11906" w:h="16838"/>
      <w:pgMar w:top="2098" w:right="1474" w:bottom="1701" w:left="1588" w:header="794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95692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>
        <w:pPr>
          <w:pStyle w:val="5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t>—</w:t>
        </w: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6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  <w:r>
          <w:rPr>
            <w:rFonts w:hint="eastAsia" w:ascii="仿宋_GB2312" w:eastAsia="仿宋_GB2312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</w:pPr>
  </w:p>
  <w:p>
    <w:pPr>
      <w:pStyle w:val="5"/>
      <w:framePr w:wrap="around" w:vAnchor="text" w:hAnchor="margin" w:xAlign="center" w:y="1"/>
      <w:rPr>
        <w:rStyle w:val="10"/>
      </w:rPr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03379"/>
    <w:multiLevelType w:val="singleLevel"/>
    <w:tmpl w:val="85503379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abstractNum w:abstractNumId="1">
    <w:nsid w:val="AF412941"/>
    <w:multiLevelType w:val="singleLevel"/>
    <w:tmpl w:val="AF412941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C57E1AA3"/>
    <w:multiLevelType w:val="singleLevel"/>
    <w:tmpl w:val="C57E1AA3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>
    <w:nsid w:val="1AC820D9"/>
    <w:multiLevelType w:val="multilevel"/>
    <w:tmpl w:val="1AC820D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5BC1559"/>
    <w:multiLevelType w:val="singleLevel"/>
    <w:tmpl w:val="65BC1559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JiNTAyYzI5ZjBkOGNmNjMwNTkxMzc5ZDU1OTQ1OGEifQ=="/>
  </w:docVars>
  <w:rsids>
    <w:rsidRoot w:val="623209FC"/>
    <w:rsid w:val="000334FE"/>
    <w:rsid w:val="000B0641"/>
    <w:rsid w:val="00183433"/>
    <w:rsid w:val="001E4ACC"/>
    <w:rsid w:val="002A5E62"/>
    <w:rsid w:val="002B7B98"/>
    <w:rsid w:val="003009E9"/>
    <w:rsid w:val="003125A3"/>
    <w:rsid w:val="003A2E61"/>
    <w:rsid w:val="003C428F"/>
    <w:rsid w:val="00463368"/>
    <w:rsid w:val="0046584B"/>
    <w:rsid w:val="0049307C"/>
    <w:rsid w:val="004A3CB3"/>
    <w:rsid w:val="004B444C"/>
    <w:rsid w:val="00511D5F"/>
    <w:rsid w:val="005275D4"/>
    <w:rsid w:val="00573F95"/>
    <w:rsid w:val="00580D78"/>
    <w:rsid w:val="0059212A"/>
    <w:rsid w:val="005A6680"/>
    <w:rsid w:val="005C59CD"/>
    <w:rsid w:val="00616B69"/>
    <w:rsid w:val="00667958"/>
    <w:rsid w:val="006E5E65"/>
    <w:rsid w:val="00775267"/>
    <w:rsid w:val="00826FB5"/>
    <w:rsid w:val="00981CE2"/>
    <w:rsid w:val="009871AA"/>
    <w:rsid w:val="00A5110C"/>
    <w:rsid w:val="00A838F4"/>
    <w:rsid w:val="00AF5D05"/>
    <w:rsid w:val="00B65D4D"/>
    <w:rsid w:val="00BA0847"/>
    <w:rsid w:val="00C04B73"/>
    <w:rsid w:val="00C626FD"/>
    <w:rsid w:val="00CF3BD3"/>
    <w:rsid w:val="00F661E1"/>
    <w:rsid w:val="00FA674D"/>
    <w:rsid w:val="03163E3B"/>
    <w:rsid w:val="045C7314"/>
    <w:rsid w:val="09281BC9"/>
    <w:rsid w:val="101363D6"/>
    <w:rsid w:val="131A446E"/>
    <w:rsid w:val="1B2107A9"/>
    <w:rsid w:val="252E2A3C"/>
    <w:rsid w:val="2C276A1D"/>
    <w:rsid w:val="2EE27B22"/>
    <w:rsid w:val="39E3734B"/>
    <w:rsid w:val="3FC476FB"/>
    <w:rsid w:val="472F5334"/>
    <w:rsid w:val="4B7A5ABA"/>
    <w:rsid w:val="50CC1763"/>
    <w:rsid w:val="5ABD109B"/>
    <w:rsid w:val="623209FC"/>
    <w:rsid w:val="70B0740C"/>
    <w:rsid w:val="7A9D2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18"/>
      <w:szCs w:val="18"/>
      <w:lang w:val="zh-TW" w:eastAsia="zh-TW" w:bidi="zh-TW"/>
    </w:rPr>
  </w:style>
  <w:style w:type="character" w:customStyle="1" w:styleId="12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9"/>
    <w:link w:val="5"/>
    <w:qFormat/>
    <w:uiPriority w:val="99"/>
    <w:rPr>
      <w:rFonts w:hint="default" w:ascii="Calibri" w:hAnsi="Calibri" w:eastAsia="宋体" w:cs="Times New Roman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362</Words>
  <Characters>2065</Characters>
  <Lines>17</Lines>
  <Paragraphs>4</Paragraphs>
  <TotalTime>562</TotalTime>
  <ScaleCrop>false</ScaleCrop>
  <LinksUpToDate>false</LinksUpToDate>
  <CharactersWithSpaces>2423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2020-01-21T08:30:00Z</dcterms:created>
  <dc:creator>Administrator</dc:creator>
  <cp:lastModifiedBy>恍然如梦</cp:lastModifiedBy>
  <cp:lastPrinted>2023-12-08T00:59:00Z</cp:lastPrinted>
  <dcterms:modified xsi:type="dcterms:W3CDTF">2023-12-18T08:11:59Z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D4E022E36C9741DD9FA7F479FCF4BD53_12</vt:lpwstr>
  </property>
</Properties>
</file>