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5DCC">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黄山区2023年涉企违规收费整治工作</w:t>
      </w:r>
    </w:p>
    <w:p w14:paraId="7908F26F">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实施方案(征求意见稿）</w:t>
      </w:r>
    </w:p>
    <w:p w14:paraId="3696A53C">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jc w:val="left"/>
        <w:textAlignment w:val="auto"/>
        <w:rPr>
          <w:rFonts w:hint="eastAsia" w:ascii="仿宋" w:hAnsi="仿宋" w:eastAsia="仿宋" w:cs="仿宋"/>
          <w:b w:val="0"/>
          <w:bCs w:val="0"/>
          <w:sz w:val="32"/>
          <w:szCs w:val="32"/>
          <w:lang w:val="en-US" w:eastAsia="zh-CN"/>
        </w:rPr>
      </w:pPr>
    </w:p>
    <w:p w14:paraId="2F808B00">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为贯彻落实上级关于优化营商环境决策部署，决定在全区范围内开展涉企违规收费整治助企行动，推动各项降费减负政策落到实处，助力广大市场经营主体特别</w:t>
      </w:r>
      <w:bookmarkStart w:id="0" w:name="_GoBack"/>
      <w:bookmarkEnd w:id="0"/>
      <w:r>
        <w:rPr>
          <w:rFonts w:hint="eastAsia" w:ascii="仿宋" w:hAnsi="仿宋" w:eastAsia="仿宋" w:cs="仿宋"/>
          <w:b w:val="0"/>
          <w:bCs w:val="0"/>
          <w:sz w:val="32"/>
          <w:szCs w:val="32"/>
          <w:lang w:val="en-US" w:eastAsia="zh-CN"/>
        </w:rPr>
        <w:t>是中小微企业轻装前行，现制定如下工作方案。</w:t>
      </w:r>
    </w:p>
    <w:p w14:paraId="3F49942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工作目标</w:t>
      </w:r>
    </w:p>
    <w:p w14:paraId="45A10D5C">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坚持问题导向和目标导向，充分发挥市场监管部门职能作用，持续深化涉企违规收费整治，注重协同推进，突出联合惩戒，强化标本兼治，推动社会共治。通过开展涉企违规收费整治助企行动，整治涉企违规收费行为，进一步推动降费减负政策在我区落地见效，营造市场化、法治化、国际化一流营商环境，助力各类市场经营主体高质量发展。</w:t>
      </w:r>
    </w:p>
    <w:p w14:paraId="26FC161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检查时限</w:t>
      </w:r>
    </w:p>
    <w:p w14:paraId="6151F94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检查时限为2021年1月1日以来的收费行为。</w:t>
      </w:r>
    </w:p>
    <w:p w14:paraId="363613D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检查范围</w:t>
      </w:r>
    </w:p>
    <w:p w14:paraId="34D18A5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本次整治工作重点检查范围包括政府部门及下属单位、金融领域、公用企业、交通物流的收费情况，并对往年涉企违规收费专项整治开展“回头看”。</w:t>
      </w:r>
    </w:p>
    <w:p w14:paraId="53F0F5D4">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聚焦政府部门及下属单位收费，降低制度性交易成本。</w:t>
      </w:r>
      <w:r>
        <w:rPr>
          <w:rFonts w:hint="eastAsia" w:ascii="仿宋" w:hAnsi="仿宋" w:eastAsia="仿宋" w:cs="仿宋"/>
          <w:b w:val="0"/>
          <w:bCs w:val="0"/>
          <w:kern w:val="2"/>
          <w:sz w:val="32"/>
          <w:szCs w:val="32"/>
          <w:lang w:val="en-US" w:eastAsia="zh-CN" w:bidi="ar-SA"/>
        </w:rPr>
        <w:t>按照《国务院办公厅关于进一步优化营商环境降低市</w:t>
      </w:r>
    </w:p>
    <w:p w14:paraId="49EE2CA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场主体制度性交易成本的意见》（国办发〔2022〕30号）等要求，严格落实行政事业性收费目录清单和实行政府定价、指导价的经营服务性收费清单。依法依规查处降费减负政策落实不到位、利用电子政务平台违规收费、违规开展行政审批中介服务事项收费等行为。</w:t>
      </w:r>
    </w:p>
    <w:p w14:paraId="3AFBB79D">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聚焦金融领域收费，降低企业综合融资成本。</w:t>
      </w:r>
      <w:r>
        <w:rPr>
          <w:rFonts w:hint="eastAsia" w:ascii="仿宋" w:hAnsi="仿宋" w:eastAsia="仿宋" w:cs="仿宋"/>
          <w:b w:val="0"/>
          <w:bCs w:val="0"/>
          <w:kern w:val="2"/>
          <w:sz w:val="32"/>
          <w:szCs w:val="32"/>
          <w:lang w:val="en-US" w:eastAsia="zh-CN" w:bidi="ar-SA"/>
        </w:rPr>
        <w:t>按照总局与银保监会等部门《关于进一步规范信贷融资收费降低企业融资综合成本的通知》（银保监发〔2020〕18号）等要求，规范金融服务收费，督促金融机构加大对小微企业支持力度。依法查处商业银行未按规定进行服务价格信息披露、融资服务中不落实小微企业收费优惠政策等行为。延伸检查担保、评估、增信等金融中介机构，查处商业银行强制搭售、转嫁费用以及以银团贷款名义违规收费等行为。</w:t>
      </w:r>
    </w:p>
    <w:p w14:paraId="61D42BB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（三）聚焦公用企业价格收费，降低企业用能成本。</w:t>
      </w:r>
      <w:r>
        <w:rPr>
          <w:rFonts w:hint="eastAsia" w:ascii="仿宋" w:hAnsi="仿宋" w:eastAsia="仿宋" w:cs="仿宋"/>
          <w:b w:val="0"/>
          <w:bCs w:val="0"/>
          <w:kern w:val="2"/>
          <w:sz w:val="32"/>
          <w:szCs w:val="32"/>
          <w:lang w:val="en-US" w:eastAsia="zh-CN" w:bidi="ar-SA"/>
        </w:rPr>
        <w:t>进一步落实《国务院办公厅转发国家发展改革委等部门关于清理规范城镇供水供电供气供暖行业收费促进行业高质量发展意见的通知》（国办函〔2020〕129号）等文件精神，结合实际，开展水电气价格收费检查。重点检查发电企业、售电公司价格违法行为，查办建筑区划红线外电力工程安装等价格违法案件，查处转供电环节不合理加价违法违规行为。</w:t>
      </w:r>
    </w:p>
    <w:p w14:paraId="5A4B6C8A">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color w:val="000000"/>
          <w:kern w:val="0"/>
          <w:sz w:val="32"/>
          <w:szCs w:val="32"/>
          <w:lang w:val="en-US" w:eastAsia="zh-CN" w:bidi="ar"/>
        </w:rPr>
        <w:t>（四）聚集交通物流收费，促进货运物流降本增效提质。</w:t>
      </w:r>
      <w:r>
        <w:rPr>
          <w:rFonts w:hint="eastAsia" w:ascii="仿宋" w:hAnsi="仿宋" w:eastAsia="仿宋" w:cs="仿宋"/>
          <w:b w:val="0"/>
          <w:bCs w:val="0"/>
          <w:kern w:val="2"/>
          <w:sz w:val="32"/>
          <w:szCs w:val="32"/>
          <w:lang w:val="en-US" w:eastAsia="zh-CN" w:bidi="ar-SA"/>
        </w:rPr>
        <w:t>加大公路、快递等交通物流领域监管力度，督促相关单位严格执行收费项目和标准公示制度，严肃查处不按规定明码标价、不按公示标准收费或自立项目收费、价格欺诈等价格违法行为。</w:t>
      </w:r>
    </w:p>
    <w:p w14:paraId="2A7D669F">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（五）对涉企违规收费专项整治情况“回头看”。</w:t>
      </w:r>
      <w:r>
        <w:rPr>
          <w:rFonts w:hint="eastAsia" w:ascii="仿宋" w:hAnsi="仿宋" w:eastAsia="仿宋" w:cs="仿宋"/>
          <w:color w:val="000000"/>
          <w:kern w:val="0"/>
          <w:sz w:val="32"/>
          <w:szCs w:val="32"/>
          <w:lang w:val="en-US" w:eastAsia="zh-CN" w:bidi="ar"/>
        </w:rPr>
        <w:t>结合市场监管系统行风建设三年攻坚专项行动，对往年涉企违规收费整治情况进行全面回顾和督查评估。紧盯日常监管和行政执法中存在的突出问题，奔着问题去、盯着问题改。对检查发现问题的处理情况开展督查检查，防止查而不纠、落实不力、久拖不决。对违规收费主体整改落实情况进行“回头看”,杜绝问题不解决、整改不到位。</w:t>
      </w:r>
    </w:p>
    <w:p w14:paraId="17CAFF7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工作步骤</w:t>
      </w:r>
    </w:p>
    <w:p w14:paraId="245AE713">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（一）自查自纠阶段（7月13日前）。</w:t>
      </w:r>
      <w:r>
        <w:rPr>
          <w:rFonts w:hint="eastAsia" w:ascii="仿宋" w:hAnsi="仿宋" w:eastAsia="仿宋" w:cs="仿宋"/>
          <w:color w:val="000000"/>
          <w:kern w:val="0"/>
          <w:sz w:val="32"/>
          <w:szCs w:val="32"/>
          <w:lang w:val="en-US" w:eastAsia="zh-CN" w:bidi="ar"/>
        </w:rPr>
        <w:t>结合贯彻落实《黄山区市场监管局 黄山区发展改革委规范涉企收费行为提醒告诫书》提醒告诫内容。区内各涉企收费主体要对照专项整治行动检查重点及以往检查发现的一些突出性、倾向性问题认真开展自查自纠，对自查出的问题逐项提出可操作、有针对性的整改措施，做到立行立改、整治到位。</w:t>
      </w:r>
    </w:p>
    <w:p w14:paraId="4A29A975">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（二）重点检查阶段（8月26日前）。</w:t>
      </w:r>
      <w:r>
        <w:rPr>
          <w:rFonts w:hint="eastAsia" w:ascii="仿宋" w:hAnsi="仿宋" w:eastAsia="仿宋" w:cs="仿宋"/>
          <w:color w:val="000000"/>
          <w:kern w:val="0"/>
          <w:sz w:val="32"/>
          <w:szCs w:val="32"/>
          <w:lang w:val="en-US" w:eastAsia="zh-CN" w:bidi="ar"/>
        </w:rPr>
        <w:t>结合投诉举报线索排查、涉企收费主体自查自纠、市场经营主体关注的热点问题以及主动对接监测联系点收集的企业负担等情况，锚定工作目标，统筹执法力量，开展执法检查。</w:t>
      </w:r>
    </w:p>
    <w:p w14:paraId="23BB82B1">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（三）整改处理阶段（9月26日前）。</w:t>
      </w:r>
      <w:r>
        <w:rPr>
          <w:rFonts w:hint="eastAsia" w:ascii="仿宋" w:hAnsi="仿宋" w:eastAsia="仿宋" w:cs="仿宋"/>
          <w:color w:val="000000"/>
          <w:kern w:val="0"/>
          <w:sz w:val="32"/>
          <w:szCs w:val="32"/>
          <w:lang w:val="en-US" w:eastAsia="zh-CN" w:bidi="ar"/>
        </w:rPr>
        <w:t>对专项整治行动发现的问题线索，积极调查核实。认真对照政策，依据职责职能，严格依法依规处理。该整改的整改，该立案的立案，该移交的移交，严禁有案不办问题的发生。加大惩处力度，对情节严重、性质恶劣的违规收费问题，一经查实，要严肃处理。加大典型案例曝光力度，充分发挥舆论监督和社会监督作用。注重举一反三，确保涉企违规收费整治工作落到实处。</w:t>
      </w:r>
    </w:p>
    <w:p w14:paraId="05C0BE7E">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left="0" w:firstLine="64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color w:val="000000"/>
          <w:kern w:val="0"/>
          <w:sz w:val="32"/>
          <w:szCs w:val="32"/>
          <w:lang w:val="en-US" w:eastAsia="zh-CN" w:bidi="ar"/>
        </w:rPr>
        <w:t>（四）总结阶段（10月26日前）。</w:t>
      </w:r>
      <w:r>
        <w:rPr>
          <w:rFonts w:hint="eastAsia" w:ascii="仿宋" w:hAnsi="仿宋" w:eastAsia="仿宋" w:cs="仿宋"/>
          <w:color w:val="000000"/>
          <w:kern w:val="0"/>
          <w:sz w:val="32"/>
          <w:szCs w:val="32"/>
          <w:lang w:val="en-US" w:eastAsia="zh-CN" w:bidi="ar"/>
        </w:rPr>
        <w:t>做好涉企违规收费整治助企行动各阶段总结工作。对检查发现的问题认真分析，依法依规处理，推动形成长效机制。做到把加强行风建设与破解涉企收费整治难题相结合，规范日常监管、公正文明执法。探索建立涉企违规收费整治成效评估机制。</w:t>
      </w:r>
    </w:p>
    <w:p w14:paraId="1944F1B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工作要求</w:t>
      </w:r>
    </w:p>
    <w:p w14:paraId="295052B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（一）加强组织领导。</w:t>
      </w:r>
      <w:r>
        <w:rPr>
          <w:rFonts w:hint="eastAsia" w:ascii="仿宋" w:hAnsi="仿宋" w:eastAsia="仿宋" w:cs="仿宋"/>
          <w:sz w:val="32"/>
          <w:szCs w:val="32"/>
        </w:rPr>
        <w:t>提高政治站位，</w:t>
      </w:r>
      <w:r>
        <w:rPr>
          <w:rFonts w:hint="eastAsia" w:ascii="仿宋" w:hAnsi="仿宋" w:eastAsia="仿宋" w:cs="仿宋"/>
          <w:sz w:val="32"/>
          <w:szCs w:val="32"/>
          <w:lang w:val="en-US" w:eastAsia="zh-CN"/>
        </w:rPr>
        <w:t>充分认识涉企违规收费整治工作对助企纾困解难、优化营商环境</w:t>
      </w:r>
      <w:r>
        <w:rPr>
          <w:rFonts w:hint="eastAsia" w:ascii="仿宋" w:hAnsi="仿宋" w:eastAsia="仿宋" w:cs="仿宋"/>
          <w:sz w:val="32"/>
          <w:szCs w:val="32"/>
        </w:rPr>
        <w:t>的重要意义。要</w:t>
      </w:r>
      <w:r>
        <w:rPr>
          <w:rFonts w:hint="eastAsia" w:ascii="仿宋" w:hAnsi="仿宋" w:eastAsia="仿宋" w:cs="仿宋"/>
          <w:sz w:val="32"/>
          <w:szCs w:val="32"/>
          <w:lang w:val="en-US" w:eastAsia="zh-CN"/>
        </w:rPr>
        <w:t>对照</w:t>
      </w:r>
      <w:r>
        <w:rPr>
          <w:rFonts w:hint="eastAsia" w:ascii="仿宋" w:hAnsi="仿宋" w:eastAsia="仿宋" w:cs="仿宋"/>
          <w:sz w:val="32"/>
          <w:szCs w:val="32"/>
        </w:rPr>
        <w:t>任务分工、步骤安排、目标成效，精心组织实施。对检查中发现的重点难点问题进行分析研判，确保工作扎实推进。</w:t>
      </w:r>
    </w:p>
    <w:p w14:paraId="6FEDF9D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（二）加强监管服务。</w:t>
      </w:r>
      <w:r>
        <w:rPr>
          <w:rFonts w:hint="eastAsia" w:ascii="仿宋" w:hAnsi="仿宋" w:eastAsia="仿宋" w:cs="仿宋"/>
          <w:sz w:val="32"/>
          <w:szCs w:val="32"/>
        </w:rPr>
        <w:t>坚持寓监管于服务之中，深化涉企收费监测联系工作，充分发挥涉企收费监测联系点作用，积极联系企业，对接企业诉求，主动发现问题线索。通过发放调查问卷、畅通12315投诉举报渠道、公开征集涉企违规收费问题线索、深入企业调研、组织座谈等方式，了解企业急难愁盼问题，提高整治针对性。对政策性问题，及时反馈</w:t>
      </w:r>
      <w:r>
        <w:rPr>
          <w:rFonts w:hint="eastAsia" w:ascii="仿宋" w:hAnsi="仿宋" w:eastAsia="仿宋" w:cs="仿宋"/>
          <w:sz w:val="32"/>
          <w:szCs w:val="32"/>
          <w:lang w:val="en-US" w:eastAsia="zh-CN"/>
        </w:rPr>
        <w:t>相关</w:t>
      </w:r>
      <w:r>
        <w:rPr>
          <w:rFonts w:hint="eastAsia" w:ascii="仿宋" w:hAnsi="仿宋" w:eastAsia="仿宋" w:cs="仿宋"/>
          <w:sz w:val="32"/>
          <w:szCs w:val="32"/>
        </w:rPr>
        <w:t>部门，实现政策制定、监督检查的良性互动。对价格违法问题，要依法依规进行处理，切实做到查处一起案件、规范一个领域，实现政治效果、法律效果和社会效果的统一，让执法既有力度，又有温度。</w:t>
      </w:r>
    </w:p>
    <w:p w14:paraId="2E165B9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（三）推进社会共治。</w:t>
      </w:r>
      <w:r>
        <w:rPr>
          <w:rFonts w:hint="eastAsia" w:ascii="仿宋" w:hAnsi="仿宋" w:eastAsia="仿宋" w:cs="仿宋"/>
          <w:sz w:val="32"/>
          <w:szCs w:val="32"/>
        </w:rPr>
        <w:t>厘清涉企违规收费整治工作中部门间职责边界、监管边界、法律边界，加强部门协同协作，积极推动收费主体以及各业务主管单位、行业管理部门切实履行管理和监督职责，建立健全整治涉企违规收费的社会共治工作格局。</w:t>
      </w:r>
    </w:p>
    <w:p w14:paraId="69BFD25A">
      <w:pPr>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（四）加强宣传总结。</w:t>
      </w:r>
      <w:r>
        <w:rPr>
          <w:rFonts w:hint="eastAsia" w:ascii="仿宋" w:hAnsi="仿宋" w:eastAsia="仿宋" w:cs="仿宋"/>
          <w:kern w:val="0"/>
          <w:sz w:val="32"/>
          <w:szCs w:val="32"/>
          <w:lang w:val="en-US" w:eastAsia="zh-CN" w:bidi="ar"/>
        </w:rPr>
        <w:t>加强信息沟通和工作汇报，总结提炼工作经验及成效做法，对检查中发现的问题加强研究分析，要把开展涉企违规收费整治助企行动与调研结合起来，大兴调查研究之风，提出工作建议，形成总结报告。</w:t>
      </w:r>
    </w:p>
    <w:p w14:paraId="32478D3E">
      <w:pPr>
        <w:rPr>
          <w:rFonts w:hint="eastAsia" w:ascii="仿宋" w:hAnsi="仿宋" w:eastAsia="仿宋" w:cs="仿宋"/>
          <w:kern w:val="0"/>
          <w:sz w:val="32"/>
          <w:szCs w:val="32"/>
          <w:lang w:val="en-US" w:eastAsia="zh-CN" w:bidi="ar"/>
        </w:rPr>
      </w:pPr>
    </w:p>
    <w:p w14:paraId="3EB7E660">
      <w:pPr>
        <w:rPr>
          <w:rFonts w:hint="eastAsia" w:ascii="仿宋" w:hAnsi="仿宋" w:eastAsia="仿宋" w:cs="仿宋"/>
          <w:kern w:val="0"/>
          <w:sz w:val="32"/>
          <w:szCs w:val="32"/>
          <w:lang w:val="en-US" w:eastAsia="zh-CN"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eastAsia="zh-CN"/>
        </w:rPr>
        <w:t>附件：黄山区涉企收费单位自查自纠情况表</w:t>
      </w:r>
    </w:p>
    <w:p w14:paraId="539B7BF5">
      <w:pP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14:paraId="394D244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val="0"/>
          <w:bCs w:val="0"/>
          <w:kern w:val="2"/>
          <w:sz w:val="44"/>
          <w:szCs w:val="44"/>
          <w:lang w:val="en-US" w:eastAsia="zh-CN" w:bidi="ar-SA"/>
        </w:rPr>
      </w:pPr>
      <w:r>
        <w:rPr>
          <w:rFonts w:hint="eastAsia" w:ascii="宋体" w:hAnsi="宋体" w:eastAsia="宋体" w:cs="宋体"/>
          <w:b/>
          <w:bCs/>
          <w:kern w:val="2"/>
          <w:sz w:val="44"/>
          <w:szCs w:val="44"/>
          <w:lang w:val="en-US" w:eastAsia="zh-CN" w:bidi="ar-SA"/>
        </w:rPr>
        <w:t>黄山区涉企收费单位自查自纠情况表</w:t>
      </w:r>
    </w:p>
    <w:p w14:paraId="567ECACC">
      <w:pPr>
        <w:keepNext w:val="0"/>
        <w:keepLines w:val="0"/>
        <w:pageBreakBefore w:val="0"/>
        <w:widowControl w:val="0"/>
        <w:kinsoku/>
        <w:wordWrap/>
        <w:overflowPunct/>
        <w:topLinePunct w:val="0"/>
        <w:autoSpaceDE/>
        <w:autoSpaceDN/>
        <w:bidi w:val="0"/>
        <w:adjustRightInd/>
        <w:snapToGrid/>
        <w:spacing w:before="157" w:beforeLines="50"/>
        <w:ind w:firstLine="600" w:firstLineChars="200"/>
        <w:jc w:val="left"/>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填报单位名称（公章）：                                          填报时间：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580"/>
        <w:gridCol w:w="1910"/>
        <w:gridCol w:w="1283"/>
        <w:gridCol w:w="1193"/>
        <w:gridCol w:w="2148"/>
        <w:gridCol w:w="1409"/>
        <w:gridCol w:w="2261"/>
        <w:gridCol w:w="1156"/>
      </w:tblGrid>
      <w:tr w14:paraId="418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34" w:type="dxa"/>
          </w:tcPr>
          <w:p w14:paraId="71499DC1">
            <w:pPr>
              <w:jc w:val="center"/>
              <w:rPr>
                <w:rFonts w:hint="eastAsia" w:ascii="仿宋" w:hAnsi="仿宋" w:eastAsia="仿宋" w:cs="仿宋"/>
                <w:b w:val="0"/>
                <w:bCs w:val="0"/>
                <w:sz w:val="24"/>
                <w:szCs w:val="24"/>
                <w:vertAlign w:val="baseline"/>
                <w:lang w:val="en-US" w:eastAsia="zh-CN"/>
              </w:rPr>
            </w:pPr>
          </w:p>
          <w:p w14:paraId="5FCA2E2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类别</w:t>
            </w:r>
          </w:p>
        </w:tc>
        <w:tc>
          <w:tcPr>
            <w:tcW w:w="580" w:type="dxa"/>
          </w:tcPr>
          <w:p w14:paraId="4CB4B81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910" w:type="dxa"/>
          </w:tcPr>
          <w:p w14:paraId="110C0BFB">
            <w:pPr>
              <w:jc w:val="center"/>
              <w:rPr>
                <w:rFonts w:hint="eastAsia" w:ascii="仿宋" w:hAnsi="仿宋" w:eastAsia="仿宋" w:cs="仿宋"/>
                <w:b w:val="0"/>
                <w:bCs w:val="0"/>
                <w:sz w:val="24"/>
                <w:szCs w:val="24"/>
                <w:vertAlign w:val="baseline"/>
                <w:lang w:val="en-US" w:eastAsia="zh-CN"/>
              </w:rPr>
            </w:pPr>
          </w:p>
          <w:p w14:paraId="4B45EDE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收费项目</w:t>
            </w:r>
          </w:p>
        </w:tc>
        <w:tc>
          <w:tcPr>
            <w:tcW w:w="1283" w:type="dxa"/>
          </w:tcPr>
          <w:p w14:paraId="01EE4B27">
            <w:pPr>
              <w:jc w:val="center"/>
              <w:rPr>
                <w:rFonts w:hint="eastAsia" w:ascii="仿宋" w:hAnsi="仿宋" w:eastAsia="仿宋" w:cs="仿宋"/>
                <w:b w:val="0"/>
                <w:bCs w:val="0"/>
                <w:sz w:val="24"/>
                <w:szCs w:val="24"/>
                <w:vertAlign w:val="baseline"/>
                <w:lang w:val="en-US" w:eastAsia="zh-CN"/>
              </w:rPr>
            </w:pPr>
          </w:p>
          <w:p w14:paraId="26FE031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收费标准</w:t>
            </w:r>
          </w:p>
        </w:tc>
        <w:tc>
          <w:tcPr>
            <w:tcW w:w="1193" w:type="dxa"/>
          </w:tcPr>
          <w:p w14:paraId="75DEF77E">
            <w:pPr>
              <w:jc w:val="center"/>
              <w:rPr>
                <w:rFonts w:hint="eastAsia" w:ascii="仿宋" w:hAnsi="仿宋" w:eastAsia="仿宋" w:cs="仿宋"/>
                <w:b w:val="0"/>
                <w:bCs w:val="0"/>
                <w:sz w:val="24"/>
                <w:szCs w:val="24"/>
                <w:vertAlign w:val="baseline"/>
                <w:lang w:val="en-US" w:eastAsia="zh-CN"/>
              </w:rPr>
            </w:pPr>
          </w:p>
          <w:p w14:paraId="2FE8513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是否公示</w:t>
            </w:r>
          </w:p>
        </w:tc>
        <w:tc>
          <w:tcPr>
            <w:tcW w:w="2148" w:type="dxa"/>
          </w:tcPr>
          <w:p w14:paraId="4E10FF80">
            <w:pPr>
              <w:jc w:val="center"/>
              <w:rPr>
                <w:rFonts w:hint="eastAsia" w:ascii="仿宋" w:hAnsi="仿宋" w:eastAsia="仿宋" w:cs="仿宋"/>
                <w:b w:val="0"/>
                <w:bCs w:val="0"/>
                <w:sz w:val="24"/>
                <w:szCs w:val="24"/>
                <w:vertAlign w:val="baseline"/>
                <w:lang w:val="en-US" w:eastAsia="zh-CN"/>
              </w:rPr>
            </w:pPr>
          </w:p>
          <w:p w14:paraId="5D578A7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收费依据</w:t>
            </w:r>
          </w:p>
        </w:tc>
        <w:tc>
          <w:tcPr>
            <w:tcW w:w="1409" w:type="dxa"/>
          </w:tcPr>
          <w:p w14:paraId="0718639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实际收费标准</w:t>
            </w:r>
          </w:p>
        </w:tc>
        <w:tc>
          <w:tcPr>
            <w:tcW w:w="2261" w:type="dxa"/>
          </w:tcPr>
          <w:p w14:paraId="6FA7F0B1">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2021年以来降费减负政策落实情况</w:t>
            </w:r>
          </w:p>
        </w:tc>
        <w:tc>
          <w:tcPr>
            <w:tcW w:w="1156" w:type="dxa"/>
          </w:tcPr>
          <w:p w14:paraId="0BAF5AE4">
            <w:pPr>
              <w:jc w:val="center"/>
              <w:rPr>
                <w:rFonts w:hint="eastAsia" w:ascii="仿宋" w:hAnsi="仿宋" w:eastAsia="仿宋" w:cs="仿宋"/>
                <w:b w:val="0"/>
                <w:bCs w:val="0"/>
                <w:sz w:val="24"/>
                <w:szCs w:val="24"/>
                <w:vertAlign w:val="baseline"/>
                <w:lang w:val="en-US" w:eastAsia="zh-CN"/>
              </w:rPr>
            </w:pPr>
          </w:p>
          <w:p w14:paraId="58F1E3E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14:paraId="27C2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34" w:type="dxa"/>
            <w:vMerge w:val="restart"/>
            <w:vAlign w:val="top"/>
          </w:tcPr>
          <w:p w14:paraId="66D25559">
            <w:pPr>
              <w:jc w:val="center"/>
              <w:rPr>
                <w:rFonts w:hint="eastAsia" w:ascii="仿宋" w:hAnsi="仿宋" w:eastAsia="仿宋" w:cs="仿宋"/>
                <w:b w:val="0"/>
                <w:bCs w:val="0"/>
                <w:sz w:val="24"/>
                <w:szCs w:val="24"/>
                <w:vertAlign w:val="baseline"/>
                <w:lang w:val="en-US" w:eastAsia="zh-CN"/>
              </w:rPr>
            </w:pPr>
          </w:p>
          <w:p w14:paraId="0FE16E9A">
            <w:pPr>
              <w:jc w:val="center"/>
              <w:rPr>
                <w:rFonts w:hint="eastAsia" w:ascii="仿宋" w:hAnsi="仿宋" w:eastAsia="仿宋" w:cs="仿宋"/>
                <w:b w:val="0"/>
                <w:bCs w:val="0"/>
                <w:sz w:val="24"/>
                <w:szCs w:val="24"/>
                <w:vertAlign w:val="baseline"/>
                <w:lang w:val="en-US" w:eastAsia="zh-CN"/>
              </w:rPr>
            </w:pPr>
          </w:p>
          <w:p w14:paraId="565BE703">
            <w:pPr>
              <w:jc w:val="center"/>
              <w:rPr>
                <w:rFonts w:hint="eastAsia" w:ascii="仿宋" w:hAnsi="仿宋" w:eastAsia="仿宋" w:cs="仿宋"/>
                <w:b w:val="0"/>
                <w:bCs w:val="0"/>
                <w:sz w:val="24"/>
                <w:szCs w:val="24"/>
                <w:vertAlign w:val="baseline"/>
                <w:lang w:val="en-US" w:eastAsia="zh-CN"/>
              </w:rPr>
            </w:pPr>
          </w:p>
          <w:p w14:paraId="0BA1922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行政事业性收费</w:t>
            </w:r>
          </w:p>
        </w:tc>
        <w:tc>
          <w:tcPr>
            <w:tcW w:w="580" w:type="dxa"/>
            <w:vAlign w:val="top"/>
          </w:tcPr>
          <w:p w14:paraId="49503A18">
            <w:pPr>
              <w:rPr>
                <w:rFonts w:hint="eastAsia" w:ascii="仿宋" w:hAnsi="仿宋" w:eastAsia="仿宋" w:cs="仿宋"/>
                <w:b w:val="0"/>
                <w:bCs w:val="0"/>
                <w:sz w:val="32"/>
                <w:szCs w:val="32"/>
                <w:vertAlign w:val="baseline"/>
                <w:lang w:val="en-US" w:eastAsia="zh-CN"/>
              </w:rPr>
            </w:pPr>
          </w:p>
        </w:tc>
        <w:tc>
          <w:tcPr>
            <w:tcW w:w="1910" w:type="dxa"/>
            <w:vAlign w:val="top"/>
          </w:tcPr>
          <w:p w14:paraId="60304CBB">
            <w:pPr>
              <w:rPr>
                <w:rFonts w:hint="eastAsia" w:ascii="仿宋" w:hAnsi="仿宋" w:eastAsia="仿宋" w:cs="仿宋"/>
                <w:b w:val="0"/>
                <w:bCs w:val="0"/>
                <w:sz w:val="32"/>
                <w:szCs w:val="32"/>
                <w:vertAlign w:val="baseline"/>
                <w:lang w:val="en-US" w:eastAsia="zh-CN"/>
              </w:rPr>
            </w:pPr>
          </w:p>
        </w:tc>
        <w:tc>
          <w:tcPr>
            <w:tcW w:w="1283" w:type="dxa"/>
            <w:vAlign w:val="top"/>
          </w:tcPr>
          <w:p w14:paraId="4E23D12E">
            <w:pPr>
              <w:rPr>
                <w:rFonts w:hint="eastAsia" w:ascii="仿宋" w:hAnsi="仿宋" w:eastAsia="仿宋" w:cs="仿宋"/>
                <w:b w:val="0"/>
                <w:bCs w:val="0"/>
                <w:sz w:val="32"/>
                <w:szCs w:val="32"/>
                <w:vertAlign w:val="baseline"/>
                <w:lang w:val="en-US" w:eastAsia="zh-CN"/>
              </w:rPr>
            </w:pPr>
          </w:p>
        </w:tc>
        <w:tc>
          <w:tcPr>
            <w:tcW w:w="1193" w:type="dxa"/>
            <w:vAlign w:val="top"/>
          </w:tcPr>
          <w:p w14:paraId="6DC22A93">
            <w:pPr>
              <w:rPr>
                <w:rFonts w:hint="eastAsia" w:ascii="仿宋" w:hAnsi="仿宋" w:eastAsia="仿宋" w:cs="仿宋"/>
                <w:b w:val="0"/>
                <w:bCs w:val="0"/>
                <w:sz w:val="32"/>
                <w:szCs w:val="32"/>
                <w:vertAlign w:val="baseline"/>
                <w:lang w:val="en-US" w:eastAsia="zh-CN"/>
              </w:rPr>
            </w:pPr>
          </w:p>
        </w:tc>
        <w:tc>
          <w:tcPr>
            <w:tcW w:w="2148" w:type="dxa"/>
            <w:vAlign w:val="top"/>
          </w:tcPr>
          <w:p w14:paraId="7873C85E">
            <w:pPr>
              <w:rPr>
                <w:rFonts w:hint="eastAsia" w:ascii="仿宋" w:hAnsi="仿宋" w:eastAsia="仿宋" w:cs="仿宋"/>
                <w:b w:val="0"/>
                <w:bCs w:val="0"/>
                <w:sz w:val="32"/>
                <w:szCs w:val="32"/>
                <w:vertAlign w:val="baseline"/>
                <w:lang w:val="en-US" w:eastAsia="zh-CN"/>
              </w:rPr>
            </w:pPr>
          </w:p>
        </w:tc>
        <w:tc>
          <w:tcPr>
            <w:tcW w:w="1409" w:type="dxa"/>
            <w:vAlign w:val="top"/>
          </w:tcPr>
          <w:p w14:paraId="47924612">
            <w:pPr>
              <w:rPr>
                <w:rFonts w:hint="eastAsia" w:ascii="仿宋" w:hAnsi="仿宋" w:eastAsia="仿宋" w:cs="仿宋"/>
                <w:b w:val="0"/>
                <w:bCs w:val="0"/>
                <w:sz w:val="32"/>
                <w:szCs w:val="32"/>
                <w:vertAlign w:val="baseline"/>
                <w:lang w:val="en-US" w:eastAsia="zh-CN"/>
              </w:rPr>
            </w:pPr>
          </w:p>
        </w:tc>
        <w:tc>
          <w:tcPr>
            <w:tcW w:w="2261" w:type="dxa"/>
            <w:vAlign w:val="top"/>
          </w:tcPr>
          <w:p w14:paraId="5B0C8FE4">
            <w:pPr>
              <w:rPr>
                <w:rFonts w:hint="eastAsia" w:ascii="仿宋" w:hAnsi="仿宋" w:eastAsia="仿宋" w:cs="仿宋"/>
                <w:b w:val="0"/>
                <w:bCs w:val="0"/>
                <w:sz w:val="32"/>
                <w:szCs w:val="32"/>
                <w:vertAlign w:val="baseline"/>
                <w:lang w:val="en-US" w:eastAsia="zh-CN"/>
              </w:rPr>
            </w:pPr>
          </w:p>
        </w:tc>
        <w:tc>
          <w:tcPr>
            <w:tcW w:w="1156" w:type="dxa"/>
            <w:vAlign w:val="top"/>
          </w:tcPr>
          <w:p w14:paraId="76ABCEEB">
            <w:pPr>
              <w:rPr>
                <w:rFonts w:hint="eastAsia" w:ascii="仿宋" w:hAnsi="仿宋" w:eastAsia="仿宋" w:cs="仿宋"/>
                <w:b w:val="0"/>
                <w:bCs w:val="0"/>
                <w:sz w:val="32"/>
                <w:szCs w:val="32"/>
                <w:vertAlign w:val="baseline"/>
                <w:lang w:val="en-US" w:eastAsia="zh-CN"/>
              </w:rPr>
            </w:pPr>
          </w:p>
        </w:tc>
      </w:tr>
      <w:tr w14:paraId="40D5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2234" w:type="dxa"/>
            <w:vMerge w:val="continue"/>
            <w:vAlign w:val="top"/>
          </w:tcPr>
          <w:p w14:paraId="0928019F">
            <w:pPr>
              <w:jc w:val="center"/>
              <w:rPr>
                <w:rFonts w:hint="eastAsia" w:ascii="仿宋" w:hAnsi="仿宋" w:eastAsia="仿宋" w:cs="仿宋"/>
                <w:b w:val="0"/>
                <w:bCs w:val="0"/>
                <w:sz w:val="24"/>
                <w:szCs w:val="24"/>
                <w:vertAlign w:val="baseline"/>
                <w:lang w:val="en-US" w:eastAsia="zh-CN"/>
              </w:rPr>
            </w:pPr>
          </w:p>
        </w:tc>
        <w:tc>
          <w:tcPr>
            <w:tcW w:w="580" w:type="dxa"/>
            <w:vAlign w:val="top"/>
          </w:tcPr>
          <w:p w14:paraId="15CF9F15">
            <w:pPr>
              <w:rPr>
                <w:rFonts w:hint="eastAsia" w:ascii="仿宋" w:hAnsi="仿宋" w:eastAsia="仿宋" w:cs="仿宋"/>
                <w:b w:val="0"/>
                <w:bCs w:val="0"/>
                <w:sz w:val="32"/>
                <w:szCs w:val="32"/>
                <w:vertAlign w:val="baseline"/>
                <w:lang w:val="en-US" w:eastAsia="zh-CN"/>
              </w:rPr>
            </w:pPr>
          </w:p>
        </w:tc>
        <w:tc>
          <w:tcPr>
            <w:tcW w:w="1910" w:type="dxa"/>
            <w:vAlign w:val="top"/>
          </w:tcPr>
          <w:p w14:paraId="6890D490">
            <w:pPr>
              <w:rPr>
                <w:rFonts w:hint="eastAsia" w:ascii="仿宋" w:hAnsi="仿宋" w:eastAsia="仿宋" w:cs="仿宋"/>
                <w:b w:val="0"/>
                <w:bCs w:val="0"/>
                <w:sz w:val="32"/>
                <w:szCs w:val="32"/>
                <w:vertAlign w:val="baseline"/>
                <w:lang w:val="en-US" w:eastAsia="zh-CN"/>
              </w:rPr>
            </w:pPr>
          </w:p>
        </w:tc>
        <w:tc>
          <w:tcPr>
            <w:tcW w:w="1283" w:type="dxa"/>
            <w:vAlign w:val="top"/>
          </w:tcPr>
          <w:p w14:paraId="3EDD1701">
            <w:pPr>
              <w:rPr>
                <w:rFonts w:hint="eastAsia" w:ascii="仿宋" w:hAnsi="仿宋" w:eastAsia="仿宋" w:cs="仿宋"/>
                <w:b w:val="0"/>
                <w:bCs w:val="0"/>
                <w:sz w:val="32"/>
                <w:szCs w:val="32"/>
                <w:vertAlign w:val="baseline"/>
                <w:lang w:val="en-US" w:eastAsia="zh-CN"/>
              </w:rPr>
            </w:pPr>
          </w:p>
        </w:tc>
        <w:tc>
          <w:tcPr>
            <w:tcW w:w="1193" w:type="dxa"/>
            <w:vAlign w:val="top"/>
          </w:tcPr>
          <w:p w14:paraId="2D09D45D">
            <w:pPr>
              <w:rPr>
                <w:rFonts w:hint="eastAsia" w:ascii="仿宋" w:hAnsi="仿宋" w:eastAsia="仿宋" w:cs="仿宋"/>
                <w:b w:val="0"/>
                <w:bCs w:val="0"/>
                <w:sz w:val="32"/>
                <w:szCs w:val="32"/>
                <w:vertAlign w:val="baseline"/>
                <w:lang w:val="en-US" w:eastAsia="zh-CN"/>
              </w:rPr>
            </w:pPr>
          </w:p>
        </w:tc>
        <w:tc>
          <w:tcPr>
            <w:tcW w:w="2148" w:type="dxa"/>
            <w:vAlign w:val="top"/>
          </w:tcPr>
          <w:p w14:paraId="77C83CF2">
            <w:pPr>
              <w:rPr>
                <w:rFonts w:hint="eastAsia" w:ascii="仿宋" w:hAnsi="仿宋" w:eastAsia="仿宋" w:cs="仿宋"/>
                <w:b w:val="0"/>
                <w:bCs w:val="0"/>
                <w:sz w:val="32"/>
                <w:szCs w:val="32"/>
                <w:vertAlign w:val="baseline"/>
                <w:lang w:val="en-US" w:eastAsia="zh-CN"/>
              </w:rPr>
            </w:pPr>
          </w:p>
        </w:tc>
        <w:tc>
          <w:tcPr>
            <w:tcW w:w="1409" w:type="dxa"/>
            <w:vAlign w:val="top"/>
          </w:tcPr>
          <w:p w14:paraId="431E7A2B">
            <w:pPr>
              <w:rPr>
                <w:rFonts w:hint="eastAsia" w:ascii="仿宋" w:hAnsi="仿宋" w:eastAsia="仿宋" w:cs="仿宋"/>
                <w:b w:val="0"/>
                <w:bCs w:val="0"/>
                <w:sz w:val="32"/>
                <w:szCs w:val="32"/>
                <w:vertAlign w:val="baseline"/>
                <w:lang w:val="en-US" w:eastAsia="zh-CN"/>
              </w:rPr>
            </w:pPr>
          </w:p>
        </w:tc>
        <w:tc>
          <w:tcPr>
            <w:tcW w:w="2261" w:type="dxa"/>
            <w:vAlign w:val="top"/>
          </w:tcPr>
          <w:p w14:paraId="58B13069">
            <w:pPr>
              <w:rPr>
                <w:rFonts w:hint="eastAsia" w:ascii="仿宋" w:hAnsi="仿宋" w:eastAsia="仿宋" w:cs="仿宋"/>
                <w:b w:val="0"/>
                <w:bCs w:val="0"/>
                <w:sz w:val="32"/>
                <w:szCs w:val="32"/>
                <w:vertAlign w:val="baseline"/>
                <w:lang w:val="en-US" w:eastAsia="zh-CN"/>
              </w:rPr>
            </w:pPr>
          </w:p>
        </w:tc>
        <w:tc>
          <w:tcPr>
            <w:tcW w:w="1156" w:type="dxa"/>
            <w:vAlign w:val="top"/>
          </w:tcPr>
          <w:p w14:paraId="5EB7370B">
            <w:pPr>
              <w:rPr>
                <w:rFonts w:hint="eastAsia" w:ascii="仿宋" w:hAnsi="仿宋" w:eastAsia="仿宋" w:cs="仿宋"/>
                <w:b w:val="0"/>
                <w:bCs w:val="0"/>
                <w:sz w:val="32"/>
                <w:szCs w:val="32"/>
                <w:vertAlign w:val="baseline"/>
                <w:lang w:val="en-US" w:eastAsia="zh-CN"/>
              </w:rPr>
            </w:pPr>
          </w:p>
        </w:tc>
      </w:tr>
      <w:tr w14:paraId="5EC5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2234" w:type="dxa"/>
            <w:vMerge w:val="continue"/>
            <w:vAlign w:val="top"/>
          </w:tcPr>
          <w:p w14:paraId="29BBBE31">
            <w:pPr>
              <w:jc w:val="center"/>
              <w:rPr>
                <w:rFonts w:hint="eastAsia" w:ascii="仿宋" w:hAnsi="仿宋" w:eastAsia="仿宋" w:cs="仿宋"/>
                <w:b w:val="0"/>
                <w:bCs w:val="0"/>
                <w:sz w:val="24"/>
                <w:szCs w:val="24"/>
                <w:vertAlign w:val="baseline"/>
                <w:lang w:val="en-US" w:eastAsia="zh-CN"/>
              </w:rPr>
            </w:pPr>
          </w:p>
        </w:tc>
        <w:tc>
          <w:tcPr>
            <w:tcW w:w="580" w:type="dxa"/>
            <w:vAlign w:val="top"/>
          </w:tcPr>
          <w:p w14:paraId="7350472E">
            <w:pPr>
              <w:rPr>
                <w:rFonts w:hint="eastAsia" w:ascii="仿宋" w:hAnsi="仿宋" w:eastAsia="仿宋" w:cs="仿宋"/>
                <w:b w:val="0"/>
                <w:bCs w:val="0"/>
                <w:sz w:val="32"/>
                <w:szCs w:val="32"/>
                <w:vertAlign w:val="baseline"/>
                <w:lang w:val="en-US" w:eastAsia="zh-CN"/>
              </w:rPr>
            </w:pPr>
          </w:p>
        </w:tc>
        <w:tc>
          <w:tcPr>
            <w:tcW w:w="1910" w:type="dxa"/>
            <w:vAlign w:val="top"/>
          </w:tcPr>
          <w:p w14:paraId="4F72EF2E">
            <w:pPr>
              <w:rPr>
                <w:rFonts w:hint="eastAsia" w:ascii="仿宋" w:hAnsi="仿宋" w:eastAsia="仿宋" w:cs="仿宋"/>
                <w:b w:val="0"/>
                <w:bCs w:val="0"/>
                <w:sz w:val="32"/>
                <w:szCs w:val="32"/>
                <w:vertAlign w:val="baseline"/>
                <w:lang w:val="en-US" w:eastAsia="zh-CN"/>
              </w:rPr>
            </w:pPr>
          </w:p>
        </w:tc>
        <w:tc>
          <w:tcPr>
            <w:tcW w:w="1283" w:type="dxa"/>
            <w:vAlign w:val="top"/>
          </w:tcPr>
          <w:p w14:paraId="7B25CB9E">
            <w:pPr>
              <w:rPr>
                <w:rFonts w:hint="eastAsia" w:ascii="仿宋" w:hAnsi="仿宋" w:eastAsia="仿宋" w:cs="仿宋"/>
                <w:b w:val="0"/>
                <w:bCs w:val="0"/>
                <w:sz w:val="32"/>
                <w:szCs w:val="32"/>
                <w:vertAlign w:val="baseline"/>
                <w:lang w:val="en-US" w:eastAsia="zh-CN"/>
              </w:rPr>
            </w:pPr>
          </w:p>
        </w:tc>
        <w:tc>
          <w:tcPr>
            <w:tcW w:w="1193" w:type="dxa"/>
            <w:vAlign w:val="top"/>
          </w:tcPr>
          <w:p w14:paraId="606821EB">
            <w:pPr>
              <w:rPr>
                <w:rFonts w:hint="eastAsia" w:ascii="仿宋" w:hAnsi="仿宋" w:eastAsia="仿宋" w:cs="仿宋"/>
                <w:b w:val="0"/>
                <w:bCs w:val="0"/>
                <w:sz w:val="32"/>
                <w:szCs w:val="32"/>
                <w:vertAlign w:val="baseline"/>
                <w:lang w:val="en-US" w:eastAsia="zh-CN"/>
              </w:rPr>
            </w:pPr>
          </w:p>
        </w:tc>
        <w:tc>
          <w:tcPr>
            <w:tcW w:w="2148" w:type="dxa"/>
            <w:vAlign w:val="top"/>
          </w:tcPr>
          <w:p w14:paraId="522F1884">
            <w:pPr>
              <w:rPr>
                <w:rFonts w:hint="eastAsia" w:ascii="仿宋" w:hAnsi="仿宋" w:eastAsia="仿宋" w:cs="仿宋"/>
                <w:b w:val="0"/>
                <w:bCs w:val="0"/>
                <w:sz w:val="32"/>
                <w:szCs w:val="32"/>
                <w:vertAlign w:val="baseline"/>
                <w:lang w:val="en-US" w:eastAsia="zh-CN"/>
              </w:rPr>
            </w:pPr>
          </w:p>
        </w:tc>
        <w:tc>
          <w:tcPr>
            <w:tcW w:w="1409" w:type="dxa"/>
            <w:vAlign w:val="top"/>
          </w:tcPr>
          <w:p w14:paraId="55B32312">
            <w:pPr>
              <w:rPr>
                <w:rFonts w:hint="eastAsia" w:ascii="仿宋" w:hAnsi="仿宋" w:eastAsia="仿宋" w:cs="仿宋"/>
                <w:b w:val="0"/>
                <w:bCs w:val="0"/>
                <w:sz w:val="32"/>
                <w:szCs w:val="32"/>
                <w:vertAlign w:val="baseline"/>
                <w:lang w:val="en-US" w:eastAsia="zh-CN"/>
              </w:rPr>
            </w:pPr>
          </w:p>
        </w:tc>
        <w:tc>
          <w:tcPr>
            <w:tcW w:w="2261" w:type="dxa"/>
            <w:vAlign w:val="top"/>
          </w:tcPr>
          <w:p w14:paraId="7360BFB2">
            <w:pPr>
              <w:rPr>
                <w:rFonts w:hint="eastAsia" w:ascii="仿宋" w:hAnsi="仿宋" w:eastAsia="仿宋" w:cs="仿宋"/>
                <w:b w:val="0"/>
                <w:bCs w:val="0"/>
                <w:sz w:val="32"/>
                <w:szCs w:val="32"/>
                <w:vertAlign w:val="baseline"/>
                <w:lang w:val="en-US" w:eastAsia="zh-CN"/>
              </w:rPr>
            </w:pPr>
          </w:p>
        </w:tc>
        <w:tc>
          <w:tcPr>
            <w:tcW w:w="1156" w:type="dxa"/>
            <w:vAlign w:val="top"/>
          </w:tcPr>
          <w:p w14:paraId="544C9E55">
            <w:pPr>
              <w:rPr>
                <w:rFonts w:hint="eastAsia" w:ascii="仿宋" w:hAnsi="仿宋" w:eastAsia="仿宋" w:cs="仿宋"/>
                <w:b w:val="0"/>
                <w:bCs w:val="0"/>
                <w:sz w:val="32"/>
                <w:szCs w:val="32"/>
                <w:vertAlign w:val="baseline"/>
                <w:lang w:val="en-US" w:eastAsia="zh-CN"/>
              </w:rPr>
            </w:pPr>
          </w:p>
        </w:tc>
      </w:tr>
      <w:tr w14:paraId="6FAA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2234" w:type="dxa"/>
            <w:vMerge w:val="restart"/>
            <w:vAlign w:val="top"/>
          </w:tcPr>
          <w:p w14:paraId="2DABD756">
            <w:pPr>
              <w:jc w:val="center"/>
              <w:rPr>
                <w:rFonts w:hint="eastAsia" w:ascii="仿宋" w:hAnsi="仿宋" w:eastAsia="仿宋" w:cs="仿宋"/>
                <w:b w:val="0"/>
                <w:bCs w:val="0"/>
                <w:sz w:val="32"/>
                <w:szCs w:val="32"/>
                <w:vertAlign w:val="baseline"/>
                <w:lang w:val="en-US" w:eastAsia="zh-CN"/>
              </w:rPr>
            </w:pPr>
          </w:p>
          <w:p w14:paraId="59629D52">
            <w:pPr>
              <w:bidi w:val="0"/>
              <w:jc w:val="center"/>
              <w:rPr>
                <w:rFonts w:hint="eastAsia" w:ascii="Calibri" w:hAnsi="Calibri" w:eastAsia="宋体" w:cs="Times New Roman"/>
                <w:kern w:val="2"/>
                <w:sz w:val="21"/>
                <w:szCs w:val="24"/>
                <w:lang w:val="en-US" w:eastAsia="zh-CN" w:bidi="ar-SA"/>
              </w:rPr>
            </w:pPr>
          </w:p>
          <w:p w14:paraId="27A50CB7">
            <w:pPr>
              <w:bidi w:val="0"/>
              <w:jc w:val="center"/>
              <w:rPr>
                <w:rFonts w:hint="eastAsia" w:ascii="Calibri" w:hAnsi="Calibri" w:eastAsia="宋体" w:cs="Times New Roman"/>
                <w:lang w:val="en-US" w:eastAsia="zh-CN"/>
              </w:rPr>
            </w:pPr>
            <w:r>
              <w:rPr>
                <w:rFonts w:hint="eastAsia" w:ascii="Calibri" w:hAnsi="Calibri" w:eastAsia="宋体" w:cs="Times New Roman"/>
                <w:lang w:val="en-US" w:eastAsia="zh-CN"/>
              </w:rPr>
              <w:t>经营服务性收费</w:t>
            </w:r>
          </w:p>
        </w:tc>
        <w:tc>
          <w:tcPr>
            <w:tcW w:w="580" w:type="dxa"/>
            <w:vAlign w:val="top"/>
          </w:tcPr>
          <w:p w14:paraId="2EE3A1C4">
            <w:pPr>
              <w:rPr>
                <w:rFonts w:hint="eastAsia" w:ascii="仿宋" w:hAnsi="仿宋" w:eastAsia="仿宋" w:cs="仿宋"/>
                <w:b w:val="0"/>
                <w:bCs w:val="0"/>
                <w:sz w:val="32"/>
                <w:szCs w:val="32"/>
                <w:vertAlign w:val="baseline"/>
                <w:lang w:val="en-US" w:eastAsia="zh-CN"/>
              </w:rPr>
            </w:pPr>
          </w:p>
        </w:tc>
        <w:tc>
          <w:tcPr>
            <w:tcW w:w="1910" w:type="dxa"/>
            <w:vAlign w:val="top"/>
          </w:tcPr>
          <w:p w14:paraId="36B82567">
            <w:pPr>
              <w:rPr>
                <w:rFonts w:hint="eastAsia" w:ascii="仿宋" w:hAnsi="仿宋" w:eastAsia="仿宋" w:cs="仿宋"/>
                <w:b w:val="0"/>
                <w:bCs w:val="0"/>
                <w:sz w:val="32"/>
                <w:szCs w:val="32"/>
                <w:vertAlign w:val="baseline"/>
                <w:lang w:val="en-US" w:eastAsia="zh-CN"/>
              </w:rPr>
            </w:pPr>
          </w:p>
        </w:tc>
        <w:tc>
          <w:tcPr>
            <w:tcW w:w="1283" w:type="dxa"/>
            <w:vAlign w:val="top"/>
          </w:tcPr>
          <w:p w14:paraId="52D3ECE2">
            <w:pPr>
              <w:rPr>
                <w:rFonts w:hint="eastAsia" w:ascii="仿宋" w:hAnsi="仿宋" w:eastAsia="仿宋" w:cs="仿宋"/>
                <w:b w:val="0"/>
                <w:bCs w:val="0"/>
                <w:sz w:val="32"/>
                <w:szCs w:val="32"/>
                <w:vertAlign w:val="baseline"/>
                <w:lang w:val="en-US" w:eastAsia="zh-CN"/>
              </w:rPr>
            </w:pPr>
          </w:p>
        </w:tc>
        <w:tc>
          <w:tcPr>
            <w:tcW w:w="1193" w:type="dxa"/>
            <w:vAlign w:val="top"/>
          </w:tcPr>
          <w:p w14:paraId="5E575ACE">
            <w:pPr>
              <w:rPr>
                <w:rFonts w:hint="eastAsia" w:ascii="仿宋" w:hAnsi="仿宋" w:eastAsia="仿宋" w:cs="仿宋"/>
                <w:b w:val="0"/>
                <w:bCs w:val="0"/>
                <w:sz w:val="32"/>
                <w:szCs w:val="32"/>
                <w:vertAlign w:val="baseline"/>
                <w:lang w:val="en-US" w:eastAsia="zh-CN"/>
              </w:rPr>
            </w:pPr>
          </w:p>
        </w:tc>
        <w:tc>
          <w:tcPr>
            <w:tcW w:w="2148" w:type="dxa"/>
            <w:vAlign w:val="top"/>
          </w:tcPr>
          <w:p w14:paraId="730FA920">
            <w:pPr>
              <w:rPr>
                <w:rFonts w:hint="eastAsia" w:ascii="仿宋" w:hAnsi="仿宋" w:eastAsia="仿宋" w:cs="仿宋"/>
                <w:b w:val="0"/>
                <w:bCs w:val="0"/>
                <w:sz w:val="32"/>
                <w:szCs w:val="32"/>
                <w:vertAlign w:val="baseline"/>
                <w:lang w:val="en-US" w:eastAsia="zh-CN"/>
              </w:rPr>
            </w:pPr>
          </w:p>
        </w:tc>
        <w:tc>
          <w:tcPr>
            <w:tcW w:w="1409" w:type="dxa"/>
            <w:vAlign w:val="top"/>
          </w:tcPr>
          <w:p w14:paraId="1CBC0807">
            <w:pPr>
              <w:rPr>
                <w:rFonts w:hint="eastAsia" w:ascii="仿宋" w:hAnsi="仿宋" w:eastAsia="仿宋" w:cs="仿宋"/>
                <w:b w:val="0"/>
                <w:bCs w:val="0"/>
                <w:sz w:val="32"/>
                <w:szCs w:val="32"/>
                <w:vertAlign w:val="baseline"/>
                <w:lang w:val="en-US" w:eastAsia="zh-CN"/>
              </w:rPr>
            </w:pPr>
          </w:p>
        </w:tc>
        <w:tc>
          <w:tcPr>
            <w:tcW w:w="2261" w:type="dxa"/>
            <w:vAlign w:val="top"/>
          </w:tcPr>
          <w:p w14:paraId="09FA2D35">
            <w:pPr>
              <w:rPr>
                <w:rFonts w:hint="eastAsia" w:ascii="仿宋" w:hAnsi="仿宋" w:eastAsia="仿宋" w:cs="仿宋"/>
                <w:b w:val="0"/>
                <w:bCs w:val="0"/>
                <w:sz w:val="32"/>
                <w:szCs w:val="32"/>
                <w:vertAlign w:val="baseline"/>
                <w:lang w:val="en-US" w:eastAsia="zh-CN"/>
              </w:rPr>
            </w:pPr>
          </w:p>
        </w:tc>
        <w:tc>
          <w:tcPr>
            <w:tcW w:w="1156" w:type="dxa"/>
            <w:vAlign w:val="top"/>
          </w:tcPr>
          <w:p w14:paraId="21846B44">
            <w:pPr>
              <w:rPr>
                <w:rFonts w:hint="eastAsia" w:ascii="仿宋" w:hAnsi="仿宋" w:eastAsia="仿宋" w:cs="仿宋"/>
                <w:b w:val="0"/>
                <w:bCs w:val="0"/>
                <w:sz w:val="32"/>
                <w:szCs w:val="32"/>
                <w:vertAlign w:val="baseline"/>
                <w:lang w:val="en-US" w:eastAsia="zh-CN"/>
              </w:rPr>
            </w:pPr>
          </w:p>
        </w:tc>
      </w:tr>
      <w:tr w14:paraId="578E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34" w:type="dxa"/>
            <w:vMerge w:val="continue"/>
            <w:vAlign w:val="top"/>
          </w:tcPr>
          <w:p w14:paraId="0C4B1536">
            <w:pPr>
              <w:rPr>
                <w:rFonts w:hint="eastAsia" w:ascii="仿宋" w:hAnsi="仿宋" w:eastAsia="仿宋" w:cs="仿宋"/>
                <w:b w:val="0"/>
                <w:bCs w:val="0"/>
                <w:sz w:val="32"/>
                <w:szCs w:val="32"/>
                <w:vertAlign w:val="baseline"/>
                <w:lang w:val="en-US" w:eastAsia="zh-CN"/>
              </w:rPr>
            </w:pPr>
          </w:p>
        </w:tc>
        <w:tc>
          <w:tcPr>
            <w:tcW w:w="580" w:type="dxa"/>
            <w:vAlign w:val="top"/>
          </w:tcPr>
          <w:p w14:paraId="2548D36B">
            <w:pPr>
              <w:rPr>
                <w:rFonts w:hint="eastAsia" w:ascii="仿宋" w:hAnsi="仿宋" w:eastAsia="仿宋" w:cs="仿宋"/>
                <w:b w:val="0"/>
                <w:bCs w:val="0"/>
                <w:sz w:val="32"/>
                <w:szCs w:val="32"/>
                <w:vertAlign w:val="baseline"/>
                <w:lang w:val="en-US" w:eastAsia="zh-CN"/>
              </w:rPr>
            </w:pPr>
          </w:p>
        </w:tc>
        <w:tc>
          <w:tcPr>
            <w:tcW w:w="1910" w:type="dxa"/>
            <w:vAlign w:val="top"/>
          </w:tcPr>
          <w:p w14:paraId="3917BBEA">
            <w:pPr>
              <w:rPr>
                <w:rFonts w:hint="eastAsia" w:ascii="仿宋" w:hAnsi="仿宋" w:eastAsia="仿宋" w:cs="仿宋"/>
                <w:b w:val="0"/>
                <w:bCs w:val="0"/>
                <w:sz w:val="32"/>
                <w:szCs w:val="32"/>
                <w:vertAlign w:val="baseline"/>
                <w:lang w:val="en-US" w:eastAsia="zh-CN"/>
              </w:rPr>
            </w:pPr>
          </w:p>
        </w:tc>
        <w:tc>
          <w:tcPr>
            <w:tcW w:w="1283" w:type="dxa"/>
            <w:vAlign w:val="top"/>
          </w:tcPr>
          <w:p w14:paraId="5746944B">
            <w:pPr>
              <w:rPr>
                <w:rFonts w:hint="eastAsia" w:ascii="仿宋" w:hAnsi="仿宋" w:eastAsia="仿宋" w:cs="仿宋"/>
                <w:b w:val="0"/>
                <w:bCs w:val="0"/>
                <w:sz w:val="32"/>
                <w:szCs w:val="32"/>
                <w:vertAlign w:val="baseline"/>
                <w:lang w:val="en-US" w:eastAsia="zh-CN"/>
              </w:rPr>
            </w:pPr>
          </w:p>
        </w:tc>
        <w:tc>
          <w:tcPr>
            <w:tcW w:w="1193" w:type="dxa"/>
            <w:vAlign w:val="top"/>
          </w:tcPr>
          <w:p w14:paraId="75267BD9">
            <w:pPr>
              <w:rPr>
                <w:rFonts w:hint="eastAsia" w:ascii="仿宋" w:hAnsi="仿宋" w:eastAsia="仿宋" w:cs="仿宋"/>
                <w:b w:val="0"/>
                <w:bCs w:val="0"/>
                <w:sz w:val="32"/>
                <w:szCs w:val="32"/>
                <w:vertAlign w:val="baseline"/>
                <w:lang w:val="en-US" w:eastAsia="zh-CN"/>
              </w:rPr>
            </w:pPr>
          </w:p>
        </w:tc>
        <w:tc>
          <w:tcPr>
            <w:tcW w:w="2148" w:type="dxa"/>
            <w:vAlign w:val="top"/>
          </w:tcPr>
          <w:p w14:paraId="60A2D298">
            <w:pPr>
              <w:rPr>
                <w:rFonts w:hint="eastAsia" w:ascii="仿宋" w:hAnsi="仿宋" w:eastAsia="仿宋" w:cs="仿宋"/>
                <w:b w:val="0"/>
                <w:bCs w:val="0"/>
                <w:sz w:val="32"/>
                <w:szCs w:val="32"/>
                <w:vertAlign w:val="baseline"/>
                <w:lang w:val="en-US" w:eastAsia="zh-CN"/>
              </w:rPr>
            </w:pPr>
          </w:p>
        </w:tc>
        <w:tc>
          <w:tcPr>
            <w:tcW w:w="1409" w:type="dxa"/>
            <w:vAlign w:val="top"/>
          </w:tcPr>
          <w:p w14:paraId="1A04B296">
            <w:pPr>
              <w:rPr>
                <w:rFonts w:hint="eastAsia" w:ascii="仿宋" w:hAnsi="仿宋" w:eastAsia="仿宋" w:cs="仿宋"/>
                <w:b w:val="0"/>
                <w:bCs w:val="0"/>
                <w:sz w:val="32"/>
                <w:szCs w:val="32"/>
                <w:vertAlign w:val="baseline"/>
                <w:lang w:val="en-US" w:eastAsia="zh-CN"/>
              </w:rPr>
            </w:pPr>
          </w:p>
        </w:tc>
        <w:tc>
          <w:tcPr>
            <w:tcW w:w="2261" w:type="dxa"/>
            <w:vAlign w:val="top"/>
          </w:tcPr>
          <w:p w14:paraId="75ADC943">
            <w:pPr>
              <w:rPr>
                <w:rFonts w:hint="eastAsia" w:ascii="仿宋" w:hAnsi="仿宋" w:eastAsia="仿宋" w:cs="仿宋"/>
                <w:b w:val="0"/>
                <w:bCs w:val="0"/>
                <w:sz w:val="32"/>
                <w:szCs w:val="32"/>
                <w:vertAlign w:val="baseline"/>
                <w:lang w:val="en-US" w:eastAsia="zh-CN"/>
              </w:rPr>
            </w:pPr>
          </w:p>
        </w:tc>
        <w:tc>
          <w:tcPr>
            <w:tcW w:w="1156" w:type="dxa"/>
            <w:vAlign w:val="top"/>
          </w:tcPr>
          <w:p w14:paraId="542F51EC">
            <w:pPr>
              <w:rPr>
                <w:rFonts w:hint="eastAsia" w:ascii="仿宋" w:hAnsi="仿宋" w:eastAsia="仿宋" w:cs="仿宋"/>
                <w:b w:val="0"/>
                <w:bCs w:val="0"/>
                <w:sz w:val="32"/>
                <w:szCs w:val="32"/>
                <w:vertAlign w:val="baseline"/>
                <w:lang w:val="en-US" w:eastAsia="zh-CN"/>
              </w:rPr>
            </w:pPr>
          </w:p>
        </w:tc>
      </w:tr>
      <w:tr w14:paraId="5D18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34" w:type="dxa"/>
            <w:vMerge w:val="continue"/>
            <w:vAlign w:val="top"/>
          </w:tcPr>
          <w:p w14:paraId="4F275A37">
            <w:pPr>
              <w:rPr>
                <w:rFonts w:hint="eastAsia" w:ascii="仿宋" w:hAnsi="仿宋" w:eastAsia="仿宋" w:cs="仿宋"/>
                <w:b w:val="0"/>
                <w:bCs w:val="0"/>
                <w:sz w:val="32"/>
                <w:szCs w:val="32"/>
                <w:vertAlign w:val="baseline"/>
                <w:lang w:val="en-US" w:eastAsia="zh-CN"/>
              </w:rPr>
            </w:pPr>
          </w:p>
        </w:tc>
        <w:tc>
          <w:tcPr>
            <w:tcW w:w="580" w:type="dxa"/>
            <w:vAlign w:val="top"/>
          </w:tcPr>
          <w:p w14:paraId="524F4059">
            <w:pPr>
              <w:rPr>
                <w:rFonts w:hint="eastAsia" w:ascii="仿宋" w:hAnsi="仿宋" w:eastAsia="仿宋" w:cs="仿宋"/>
                <w:b w:val="0"/>
                <w:bCs w:val="0"/>
                <w:sz w:val="32"/>
                <w:szCs w:val="32"/>
                <w:vertAlign w:val="baseline"/>
                <w:lang w:val="en-US" w:eastAsia="zh-CN"/>
              </w:rPr>
            </w:pPr>
          </w:p>
        </w:tc>
        <w:tc>
          <w:tcPr>
            <w:tcW w:w="1910" w:type="dxa"/>
            <w:vAlign w:val="top"/>
          </w:tcPr>
          <w:p w14:paraId="0E0742F6">
            <w:pPr>
              <w:rPr>
                <w:rFonts w:hint="eastAsia" w:ascii="仿宋" w:hAnsi="仿宋" w:eastAsia="仿宋" w:cs="仿宋"/>
                <w:b w:val="0"/>
                <w:bCs w:val="0"/>
                <w:sz w:val="32"/>
                <w:szCs w:val="32"/>
                <w:vertAlign w:val="baseline"/>
                <w:lang w:val="en-US" w:eastAsia="zh-CN"/>
              </w:rPr>
            </w:pPr>
          </w:p>
        </w:tc>
        <w:tc>
          <w:tcPr>
            <w:tcW w:w="1283" w:type="dxa"/>
            <w:vAlign w:val="top"/>
          </w:tcPr>
          <w:p w14:paraId="2ADD3902">
            <w:pPr>
              <w:rPr>
                <w:rFonts w:hint="eastAsia" w:ascii="仿宋" w:hAnsi="仿宋" w:eastAsia="仿宋" w:cs="仿宋"/>
                <w:b w:val="0"/>
                <w:bCs w:val="0"/>
                <w:sz w:val="32"/>
                <w:szCs w:val="32"/>
                <w:vertAlign w:val="baseline"/>
                <w:lang w:val="en-US" w:eastAsia="zh-CN"/>
              </w:rPr>
            </w:pPr>
          </w:p>
        </w:tc>
        <w:tc>
          <w:tcPr>
            <w:tcW w:w="1193" w:type="dxa"/>
            <w:vAlign w:val="top"/>
          </w:tcPr>
          <w:p w14:paraId="2C9675B9">
            <w:pPr>
              <w:rPr>
                <w:rFonts w:hint="eastAsia" w:ascii="仿宋" w:hAnsi="仿宋" w:eastAsia="仿宋" w:cs="仿宋"/>
                <w:b w:val="0"/>
                <w:bCs w:val="0"/>
                <w:sz w:val="32"/>
                <w:szCs w:val="32"/>
                <w:vertAlign w:val="baseline"/>
                <w:lang w:val="en-US" w:eastAsia="zh-CN"/>
              </w:rPr>
            </w:pPr>
          </w:p>
        </w:tc>
        <w:tc>
          <w:tcPr>
            <w:tcW w:w="2148" w:type="dxa"/>
            <w:vAlign w:val="top"/>
          </w:tcPr>
          <w:p w14:paraId="0E16C61B">
            <w:pPr>
              <w:rPr>
                <w:rFonts w:hint="eastAsia" w:ascii="仿宋" w:hAnsi="仿宋" w:eastAsia="仿宋" w:cs="仿宋"/>
                <w:b w:val="0"/>
                <w:bCs w:val="0"/>
                <w:sz w:val="32"/>
                <w:szCs w:val="32"/>
                <w:vertAlign w:val="baseline"/>
                <w:lang w:val="en-US" w:eastAsia="zh-CN"/>
              </w:rPr>
            </w:pPr>
          </w:p>
        </w:tc>
        <w:tc>
          <w:tcPr>
            <w:tcW w:w="1409" w:type="dxa"/>
            <w:vAlign w:val="top"/>
          </w:tcPr>
          <w:p w14:paraId="543EE0FC">
            <w:pPr>
              <w:rPr>
                <w:rFonts w:hint="eastAsia" w:ascii="仿宋" w:hAnsi="仿宋" w:eastAsia="仿宋" w:cs="仿宋"/>
                <w:b w:val="0"/>
                <w:bCs w:val="0"/>
                <w:sz w:val="32"/>
                <w:szCs w:val="32"/>
                <w:vertAlign w:val="baseline"/>
                <w:lang w:val="en-US" w:eastAsia="zh-CN"/>
              </w:rPr>
            </w:pPr>
          </w:p>
        </w:tc>
        <w:tc>
          <w:tcPr>
            <w:tcW w:w="2261" w:type="dxa"/>
            <w:vAlign w:val="top"/>
          </w:tcPr>
          <w:p w14:paraId="4A134BE7">
            <w:pPr>
              <w:rPr>
                <w:rFonts w:hint="eastAsia" w:ascii="仿宋" w:hAnsi="仿宋" w:eastAsia="仿宋" w:cs="仿宋"/>
                <w:b w:val="0"/>
                <w:bCs w:val="0"/>
                <w:sz w:val="32"/>
                <w:szCs w:val="32"/>
                <w:vertAlign w:val="baseline"/>
                <w:lang w:val="en-US" w:eastAsia="zh-CN"/>
              </w:rPr>
            </w:pPr>
          </w:p>
        </w:tc>
        <w:tc>
          <w:tcPr>
            <w:tcW w:w="1156" w:type="dxa"/>
            <w:vAlign w:val="top"/>
          </w:tcPr>
          <w:p w14:paraId="00AC6642">
            <w:pPr>
              <w:rPr>
                <w:rFonts w:hint="eastAsia" w:ascii="仿宋" w:hAnsi="仿宋" w:eastAsia="仿宋" w:cs="仿宋"/>
                <w:b w:val="0"/>
                <w:bCs w:val="0"/>
                <w:sz w:val="32"/>
                <w:szCs w:val="32"/>
                <w:vertAlign w:val="baseline"/>
                <w:lang w:val="en-US" w:eastAsia="zh-CN"/>
              </w:rPr>
            </w:pPr>
          </w:p>
        </w:tc>
      </w:tr>
      <w:tr w14:paraId="34C3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4174" w:type="dxa"/>
            <w:gridSpan w:val="9"/>
            <w:vAlign w:val="top"/>
          </w:tcPr>
          <w:p w14:paraId="39F10977">
            <w:pPr>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0"/>
                <w:szCs w:val="30"/>
                <w:vertAlign w:val="baseline"/>
                <w:lang w:val="en-US" w:eastAsia="zh-CN"/>
              </w:rPr>
              <w:t>填表人：                          联系电话：                        审核人：</w:t>
            </w:r>
          </w:p>
        </w:tc>
      </w:tr>
      <w:tr w14:paraId="06DF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4174" w:type="dxa"/>
            <w:gridSpan w:val="9"/>
            <w:vAlign w:val="top"/>
          </w:tcPr>
          <w:p w14:paraId="7B1C39C7">
            <w:pPr>
              <w:jc w:val="left"/>
              <w:rPr>
                <w:rFonts w:hint="default" w:ascii="仿宋" w:hAnsi="仿宋" w:eastAsia="仿宋" w:cs="仿宋"/>
                <w:b/>
                <w:bCs/>
                <w:sz w:val="28"/>
                <w:szCs w:val="28"/>
                <w:vertAlign w:val="baseline"/>
                <w:lang w:val="en-US" w:eastAsia="zh-CN"/>
              </w:rPr>
            </w:pPr>
            <w:r>
              <w:rPr>
                <w:rFonts w:hint="default" w:ascii="仿宋" w:hAnsi="仿宋" w:eastAsia="仿宋" w:cs="仿宋"/>
                <w:b/>
                <w:bCs/>
                <w:sz w:val="28"/>
                <w:szCs w:val="28"/>
                <w:vertAlign w:val="baseline"/>
                <w:lang w:val="en-US" w:eastAsia="zh-CN"/>
              </w:rPr>
              <w:t>备注：此表填写内容为2021年1月1日以来的涉企收费行为，表格不够可另附页。</w:t>
            </w:r>
          </w:p>
        </w:tc>
      </w:tr>
    </w:tbl>
    <w:p w14:paraId="34CC05A0">
      <w:pPr>
        <w:rPr>
          <w:rFonts w:hint="eastAsia" w:ascii="仿宋" w:hAnsi="仿宋" w:eastAsia="仿宋" w:cs="仿宋"/>
          <w:b w:val="0"/>
          <w:bCs w:val="0"/>
          <w:sz w:val="32"/>
          <w:szCs w:val="32"/>
          <w:lang w:val="en-US" w:eastAsia="zh-CN"/>
        </w:rPr>
      </w:pPr>
    </w:p>
    <w:p w14:paraId="24AC5F05">
      <w:pPr>
        <w:rPr>
          <w:rFonts w:hint="eastAsia" w:ascii="仿宋" w:hAnsi="仿宋" w:eastAsia="仿宋" w:cs="仿宋"/>
          <w:kern w:val="0"/>
          <w:sz w:val="32"/>
          <w:szCs w:val="32"/>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952E0"/>
    <w:multiLevelType w:val="singleLevel"/>
    <w:tmpl w:val="B88952E0"/>
    <w:lvl w:ilvl="0" w:tentative="0">
      <w:start w:val="1"/>
      <w:numFmt w:val="chineseCounting"/>
      <w:suff w:val="nothing"/>
      <w:lvlText w:val="（%1）"/>
      <w:lvlJc w:val="left"/>
      <w:rPr>
        <w:rFonts w:hint="eastAsia"/>
      </w:rPr>
    </w:lvl>
  </w:abstractNum>
  <w:abstractNum w:abstractNumId="1">
    <w:nsid w:val="23374959"/>
    <w:multiLevelType w:val="singleLevel"/>
    <w:tmpl w:val="233749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GZiOWQ0MjZjYzExZTcyNjY0NzVkOWI0ZDcwZGYifQ=="/>
  </w:docVars>
  <w:rsids>
    <w:rsidRoot w:val="544C0AE2"/>
    <w:rsid w:val="0D88393B"/>
    <w:rsid w:val="544C0AE2"/>
    <w:rsid w:val="6610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2450</Words>
  <Characters>2484</Characters>
  <Lines>0</Lines>
  <Paragraphs>0</Paragraphs>
  <TotalTime>1</TotalTime>
  <ScaleCrop>false</ScaleCrop>
  <LinksUpToDate>false</LinksUpToDate>
  <CharactersWithSpaces>2577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2023-07-06T08:09:00Z</dcterms:created>
  <dc:creator>洋洋</dc:creator>
  <cp:lastModifiedBy>v</cp:lastModifiedBy>
  <dcterms:modified xsi:type="dcterms:W3CDTF">2024-11-14T02:08:32Z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5457BA24A4114B73A6663C2E6F03F8AC_11</vt:lpwstr>
  </property>
</Properties>
</file>