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50B0"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 w14:paraId="390F181B">
      <w:pPr>
        <w:spacing w:line="570" w:lineRule="exact"/>
        <w:jc w:val="center"/>
        <w:rPr>
          <w:rFonts w:ascii="Times New Roman" w:hAnsi="Times New Roman" w:cs="Times New Roman"/>
          <w:color w:val="auto"/>
          <w:kern w:val="0"/>
        </w:rPr>
      </w:pPr>
      <w:bookmarkStart w:id="0" w:name="_Toc530229988"/>
      <w:bookmarkStart w:id="1" w:name="_Toc530229879"/>
      <w:r>
        <w:rPr>
          <w:rFonts w:ascii="Times New Roman" w:hAnsi="Times New Roman" w:cs="Times New Roman"/>
          <w:color w:val="auto"/>
          <w:kern w:val="0"/>
        </w:rPr>
        <w:t>黄山区城区</w:t>
      </w:r>
      <w:r>
        <w:rPr>
          <w:rFonts w:hint="eastAsia" w:ascii="Times New Roman" w:hAnsi="Times New Roman" w:cs="Times New Roman"/>
          <w:color w:val="auto"/>
          <w:kern w:val="0"/>
          <w:lang w:val="en-US" w:eastAsia="zh-CN"/>
        </w:rPr>
        <w:t>土地</w:t>
      </w:r>
      <w:r>
        <w:rPr>
          <w:rFonts w:ascii="Times New Roman" w:hAnsi="Times New Roman" w:cs="Times New Roman"/>
          <w:color w:val="auto"/>
          <w:kern w:val="0"/>
        </w:rPr>
        <w:t>级别</w:t>
      </w:r>
      <w:r>
        <w:rPr>
          <w:rFonts w:hint="eastAsia" w:ascii="Times New Roman" w:hAnsi="Times New Roman" w:cs="Times New Roman"/>
          <w:color w:val="auto"/>
          <w:kern w:val="0"/>
          <w:lang w:val="en-US" w:eastAsia="zh-CN"/>
        </w:rPr>
        <w:t>与</w:t>
      </w:r>
      <w:r>
        <w:rPr>
          <w:rFonts w:ascii="Times New Roman" w:hAnsi="Times New Roman" w:cs="Times New Roman"/>
          <w:color w:val="auto"/>
          <w:kern w:val="0"/>
        </w:rPr>
        <w:t>基准地价表</w:t>
      </w:r>
    </w:p>
    <w:p w14:paraId="5E45BD1E">
      <w:pPr>
        <w:spacing w:line="570" w:lineRule="exact"/>
        <w:ind w:firstLine="640" w:firstLineChars="200"/>
        <w:jc w:val="left"/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一、城区土地级别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分布</w:t>
      </w: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范围</w:t>
      </w:r>
    </w:p>
    <w:p w14:paraId="002C84EC">
      <w:pPr>
        <w:spacing w:line="570" w:lineRule="exact"/>
        <w:jc w:val="center"/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1  商业服务业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用地级别分布范围</w:t>
      </w:r>
      <w:bookmarkEnd w:id="0"/>
      <w:bookmarkEnd w:id="1"/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7497"/>
      </w:tblGrid>
      <w:tr w14:paraId="2096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23" w:type="pct"/>
            <w:vAlign w:val="center"/>
          </w:tcPr>
          <w:p w14:paraId="5772D41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土地级别</w:t>
            </w:r>
          </w:p>
        </w:tc>
        <w:tc>
          <w:tcPr>
            <w:tcW w:w="4277" w:type="pct"/>
            <w:vAlign w:val="center"/>
          </w:tcPr>
          <w:p w14:paraId="2D2441D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分布范围</w:t>
            </w:r>
          </w:p>
        </w:tc>
      </w:tr>
      <w:tr w14:paraId="054D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265" w:type="dxa"/>
            <w:vAlign w:val="center"/>
          </w:tcPr>
          <w:p w14:paraId="5C4823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一级地</w:t>
            </w:r>
          </w:p>
        </w:tc>
        <w:tc>
          <w:tcPr>
            <w:tcW w:w="7485" w:type="dxa"/>
            <w:vAlign w:val="center"/>
          </w:tcPr>
          <w:p w14:paraId="777FCD3F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龙井西路-龙井东路-圣泉路-太平东路-清潭路-平湖东路-玉河路-香溪路-北海北路-芙蓉路-玉屏南路-玉屏北路-龙井西路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；</w:t>
            </w:r>
          </w:p>
        </w:tc>
      </w:tr>
      <w:tr w14:paraId="1AE1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265" w:type="dxa"/>
            <w:vAlign w:val="center"/>
          </w:tcPr>
          <w:p w14:paraId="1215DF4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二级地</w:t>
            </w:r>
          </w:p>
        </w:tc>
        <w:tc>
          <w:tcPr>
            <w:tcW w:w="7485" w:type="dxa"/>
            <w:vAlign w:val="center"/>
          </w:tcPr>
          <w:p w14:paraId="386792F4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仙源西路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  <w:lang w:val="en-US" w:eastAsia="zh-CN"/>
              </w:rPr>
              <w:t>-</w:t>
            </w:r>
            <w:bookmarkStart w:id="14" w:name="_GoBack"/>
            <w:bookmarkEnd w:id="14"/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仙源东路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  <w:lang w:val="en-US"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平湖东路-翠微路-翡翠路-湾山新村-湾山路-浦溪河芙蓉路-莲花路-仙源西路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；</w:t>
            </w:r>
          </w:p>
        </w:tc>
      </w:tr>
      <w:tr w14:paraId="006C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265" w:type="dxa"/>
            <w:vAlign w:val="center"/>
          </w:tcPr>
          <w:p w14:paraId="0D6D29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三级地</w:t>
            </w:r>
          </w:p>
        </w:tc>
        <w:tc>
          <w:tcPr>
            <w:tcW w:w="7485" w:type="dxa"/>
            <w:vAlign w:val="center"/>
          </w:tcPr>
          <w:p w14:paraId="1C6E3A73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云谷路-青蓝路-浦园大道一线以东的剩余区域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；</w:t>
            </w:r>
          </w:p>
        </w:tc>
      </w:tr>
      <w:tr w14:paraId="79AE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265" w:type="dxa"/>
            <w:vAlign w:val="center"/>
          </w:tcPr>
          <w:p w14:paraId="2762C85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四级地</w:t>
            </w:r>
          </w:p>
        </w:tc>
        <w:tc>
          <w:tcPr>
            <w:tcW w:w="7485" w:type="dxa"/>
            <w:vAlign w:val="center"/>
          </w:tcPr>
          <w:p w14:paraId="225AFF8D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定级范围内剩余区域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。</w:t>
            </w:r>
          </w:p>
        </w:tc>
      </w:tr>
    </w:tbl>
    <w:p w14:paraId="309E4C1C">
      <w:pPr>
        <w:spacing w:line="400" w:lineRule="exact"/>
        <w:jc w:val="center"/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bookmarkStart w:id="2" w:name="_Toc530229989"/>
      <w:bookmarkStart w:id="3" w:name="_Toc530229880"/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2  城镇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住宅用地级别分布范围</w:t>
      </w:r>
      <w:bookmarkEnd w:id="2"/>
      <w:bookmarkEnd w:id="3"/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7497"/>
      </w:tblGrid>
      <w:tr w14:paraId="325A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23" w:type="pct"/>
            <w:vAlign w:val="center"/>
          </w:tcPr>
          <w:p w14:paraId="5BB9E98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bookmarkStart w:id="4" w:name="_Toc530229881"/>
            <w:bookmarkStart w:id="5" w:name="_Toc530229990"/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土地级别</w:t>
            </w:r>
          </w:p>
        </w:tc>
        <w:tc>
          <w:tcPr>
            <w:tcW w:w="4277" w:type="pct"/>
            <w:vAlign w:val="center"/>
          </w:tcPr>
          <w:p w14:paraId="30F715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分布范围</w:t>
            </w:r>
          </w:p>
        </w:tc>
      </w:tr>
      <w:tr w14:paraId="24F4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23" w:type="pct"/>
            <w:vAlign w:val="center"/>
          </w:tcPr>
          <w:p w14:paraId="480133C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一级地</w:t>
            </w:r>
          </w:p>
        </w:tc>
        <w:tc>
          <w:tcPr>
            <w:tcW w:w="7522" w:type="dxa"/>
            <w:vAlign w:val="center"/>
          </w:tcPr>
          <w:p w14:paraId="1070E57C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仙源西路-仙源东路-清潭路-龙居山庄-太平东路-平湖东路-玉河路-香溪路-北海北路-北海公馆-玉屏南路-云门路-翡翠路-秧溪路-平湖西路-凤凰路-桃源路-仙源西路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；</w:t>
            </w:r>
          </w:p>
        </w:tc>
      </w:tr>
      <w:tr w14:paraId="55FF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23" w:type="pct"/>
            <w:vAlign w:val="center"/>
          </w:tcPr>
          <w:p w14:paraId="24FA642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二级地</w:t>
            </w:r>
          </w:p>
        </w:tc>
        <w:tc>
          <w:tcPr>
            <w:tcW w:w="7522" w:type="dxa"/>
            <w:vAlign w:val="center"/>
          </w:tcPr>
          <w:p w14:paraId="5E04137F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西海路-定级范围线-合铜黄高速-103省道-仙源东路-定级范围线-翠微路-翡翠路-湾山新村-定级范围线-紫云路-饶村路-浦诚一品-黄荆路-浦溪河-慈光路-浦园大道-青蓝路-翡翠路-西海路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；</w:t>
            </w:r>
          </w:p>
        </w:tc>
      </w:tr>
      <w:tr w14:paraId="4943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23" w:type="pct"/>
            <w:vAlign w:val="center"/>
          </w:tcPr>
          <w:p w14:paraId="13F2784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三级地</w:t>
            </w:r>
          </w:p>
        </w:tc>
        <w:tc>
          <w:tcPr>
            <w:tcW w:w="7522" w:type="dxa"/>
            <w:vAlign w:val="center"/>
          </w:tcPr>
          <w:p w14:paraId="3B5C9F86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云谷路、青蓝路、浦园大道一线以东的剩余区域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；</w:t>
            </w:r>
          </w:p>
        </w:tc>
      </w:tr>
      <w:tr w14:paraId="1FB8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23" w:type="pct"/>
            <w:vAlign w:val="center"/>
          </w:tcPr>
          <w:p w14:paraId="14B982E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四级地</w:t>
            </w:r>
          </w:p>
        </w:tc>
        <w:tc>
          <w:tcPr>
            <w:tcW w:w="7522" w:type="dxa"/>
            <w:vAlign w:val="center"/>
          </w:tcPr>
          <w:p w14:paraId="3475EB82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定级范围内剩余区域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。</w:t>
            </w:r>
          </w:p>
        </w:tc>
      </w:tr>
    </w:tbl>
    <w:p w14:paraId="48775BB1">
      <w:pPr>
        <w:spacing w:line="400" w:lineRule="exact"/>
        <w:jc w:val="center"/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3  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工业用地级别分布范围</w:t>
      </w:r>
      <w:bookmarkEnd w:id="4"/>
      <w:bookmarkEnd w:id="5"/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7497"/>
      </w:tblGrid>
      <w:tr w14:paraId="689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23" w:type="pct"/>
            <w:vAlign w:val="center"/>
          </w:tcPr>
          <w:p w14:paraId="6C241A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bookmarkStart w:id="6" w:name="_Toc530229882"/>
            <w:bookmarkStart w:id="7" w:name="_Toc530229991"/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土地级别</w:t>
            </w:r>
          </w:p>
        </w:tc>
        <w:tc>
          <w:tcPr>
            <w:tcW w:w="4277" w:type="pct"/>
            <w:vAlign w:val="center"/>
          </w:tcPr>
          <w:p w14:paraId="4189BD9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分布范围</w:t>
            </w:r>
          </w:p>
        </w:tc>
      </w:tr>
      <w:tr w14:paraId="26D2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3" w:type="pct"/>
            <w:vAlign w:val="center"/>
          </w:tcPr>
          <w:p w14:paraId="54276A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控制区</w:t>
            </w:r>
          </w:p>
        </w:tc>
        <w:tc>
          <w:tcPr>
            <w:tcW w:w="7509" w:type="dxa"/>
            <w:vAlign w:val="center"/>
          </w:tcPr>
          <w:p w14:paraId="7F6826A0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西海路-仙源西路-仙源东路-定级范围线-翡翠大道-翡翠路-青蓝路-浦溪河-西海路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；</w:t>
            </w:r>
          </w:p>
        </w:tc>
      </w:tr>
      <w:tr w14:paraId="780E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23" w:type="pct"/>
            <w:vAlign w:val="center"/>
          </w:tcPr>
          <w:p w14:paraId="1524CFB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一级地</w:t>
            </w:r>
          </w:p>
        </w:tc>
        <w:tc>
          <w:tcPr>
            <w:tcW w:w="7509" w:type="dxa"/>
            <w:vAlign w:val="center"/>
          </w:tcPr>
          <w:p w14:paraId="7F6453E9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翡翠路-青蓝路-浦园大道一线东南区域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；</w:t>
            </w:r>
          </w:p>
        </w:tc>
      </w:tr>
      <w:tr w14:paraId="5060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23" w:type="pct"/>
            <w:vAlign w:val="center"/>
          </w:tcPr>
          <w:p w14:paraId="0291769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二级地</w:t>
            </w:r>
          </w:p>
        </w:tc>
        <w:tc>
          <w:tcPr>
            <w:tcW w:w="7509" w:type="dxa"/>
            <w:vAlign w:val="center"/>
          </w:tcPr>
          <w:p w14:paraId="413287A7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定级范围内剩余区域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。</w:t>
            </w:r>
          </w:p>
        </w:tc>
      </w:tr>
    </w:tbl>
    <w:p w14:paraId="6C93E78A">
      <w:pPr>
        <w:spacing w:line="40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</w:p>
    <w:p w14:paraId="035338AA">
      <w:pPr>
        <w:spacing w:line="400" w:lineRule="exact"/>
        <w:jc w:val="center"/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表4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公共管理与公共服务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公用设施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用地级别分布范围</w:t>
      </w:r>
      <w:bookmarkEnd w:id="6"/>
      <w:bookmarkEnd w:id="7"/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7523"/>
      </w:tblGrid>
      <w:tr w14:paraId="3091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08" w:type="pct"/>
            <w:vAlign w:val="center"/>
          </w:tcPr>
          <w:p w14:paraId="6E35285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土地级别</w:t>
            </w:r>
          </w:p>
        </w:tc>
        <w:tc>
          <w:tcPr>
            <w:tcW w:w="4291" w:type="pct"/>
            <w:vAlign w:val="center"/>
          </w:tcPr>
          <w:p w14:paraId="7DA5C08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分布范围</w:t>
            </w:r>
          </w:p>
        </w:tc>
      </w:tr>
      <w:tr w14:paraId="4411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08" w:type="pct"/>
            <w:vAlign w:val="center"/>
          </w:tcPr>
          <w:p w14:paraId="392C971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一级地</w:t>
            </w:r>
          </w:p>
        </w:tc>
        <w:tc>
          <w:tcPr>
            <w:tcW w:w="4291" w:type="pct"/>
            <w:vAlign w:val="center"/>
          </w:tcPr>
          <w:p w14:paraId="7330B071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仙源西路-仙源东路-清潭路-平湖东路-玉河路-香溪路-北海北路-翡翠路-凤凰路-桃源路-仙源西路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；</w:t>
            </w:r>
          </w:p>
        </w:tc>
      </w:tr>
      <w:tr w14:paraId="71C1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08" w:type="pct"/>
            <w:vAlign w:val="center"/>
          </w:tcPr>
          <w:p w14:paraId="18C09EC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二级地</w:t>
            </w:r>
          </w:p>
        </w:tc>
        <w:tc>
          <w:tcPr>
            <w:tcW w:w="4291" w:type="pct"/>
            <w:vAlign w:val="center"/>
          </w:tcPr>
          <w:p w14:paraId="27F5989D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西海路-仙源西路-中石化-疾控中心-合铜黄高速-千和花园-仙源东路-高速收费站-翡翠大道-丹霞路-定级范围线-紫云路-黄荆路-浦园大道-青蓝路-浦溪河-西海路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；</w:t>
            </w:r>
          </w:p>
        </w:tc>
      </w:tr>
      <w:tr w14:paraId="39CB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08" w:type="pct"/>
            <w:vAlign w:val="center"/>
          </w:tcPr>
          <w:p w14:paraId="071C8CE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三级地</w:t>
            </w:r>
          </w:p>
        </w:tc>
        <w:tc>
          <w:tcPr>
            <w:tcW w:w="4291" w:type="pct"/>
            <w:vAlign w:val="center"/>
          </w:tcPr>
          <w:p w14:paraId="21C3912E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定级范围内剩余区域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  <w:t>。</w:t>
            </w:r>
          </w:p>
        </w:tc>
      </w:tr>
    </w:tbl>
    <w:p w14:paraId="3CAF7B1F">
      <w:pPr>
        <w:spacing w:line="400" w:lineRule="exact"/>
        <w:jc w:val="left"/>
        <w:rPr>
          <w:rFonts w:hint="eastAsia" w:ascii="Times New Roman" w:hAnsi="Times New Roman" w:eastAsia="仿宋_GB2312" w:cs="Times New Roman"/>
          <w:color w:val="auto"/>
          <w:spacing w:val="-6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24"/>
          <w:szCs w:val="24"/>
        </w:rPr>
        <w:t>备注：（1）二级地区域需扣除一级地区域，三级地区域需扣除二级地区域，依次类推；</w:t>
      </w:r>
    </w:p>
    <w:p w14:paraId="1416BB69">
      <w:pPr>
        <w:spacing w:line="400" w:lineRule="exact"/>
        <w:jc w:val="left"/>
        <w:rPr>
          <w:rFonts w:hint="eastAsia" w:ascii="Times New Roman" w:hAnsi="Times New Roman" w:eastAsia="仿宋_GB2312" w:cs="Times New Roman"/>
          <w:color w:val="auto"/>
          <w:spacing w:val="-6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24"/>
          <w:szCs w:val="24"/>
        </w:rPr>
        <w:t>（2）具体范围详见级别分布图。</w:t>
      </w:r>
    </w:p>
    <w:p w14:paraId="107F80E3">
      <w:pPr>
        <w:spacing w:line="400" w:lineRule="exact"/>
        <w:ind w:firstLine="1440" w:firstLineChars="450"/>
        <w:rPr>
          <w:rFonts w:ascii="Times New Roman" w:hAnsi="Times New Roman" w:eastAsia="方正仿宋简体" w:cs="Times New Roman"/>
          <w:color w:val="auto"/>
          <w:sz w:val="32"/>
          <w:szCs w:val="32"/>
        </w:rPr>
      </w:pPr>
    </w:p>
    <w:p w14:paraId="4AD8BE56">
      <w:pPr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二、城区基准地价更新成果</w:t>
      </w:r>
    </w:p>
    <w:p w14:paraId="0E599B1C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表5</w:t>
      </w:r>
      <w:bookmarkStart w:id="8" w:name="OLE_LINK1"/>
      <w:bookmarkStart w:id="9" w:name="OLE_LINK6"/>
      <w:bookmarkStart w:id="10" w:name="OLE_LINK9"/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  商业服务业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用地基准地价表</w:t>
      </w:r>
    </w:p>
    <w:p w14:paraId="7E79B8A4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表5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-1  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零售商业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、公用设施营业网点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、餐饮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、娱乐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</w:t>
      </w:r>
    </w:p>
    <w:p w14:paraId="50083D54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基准地价表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692"/>
        <w:gridCol w:w="1543"/>
        <w:gridCol w:w="1528"/>
        <w:gridCol w:w="1543"/>
        <w:gridCol w:w="1543"/>
      </w:tblGrid>
      <w:tr w14:paraId="081B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B7D9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3DFE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D34F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5298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86FB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四</w:t>
            </w:r>
          </w:p>
        </w:tc>
      </w:tr>
      <w:tr w14:paraId="7C72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0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4170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7068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2974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2085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7392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1350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1E1E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3746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510</w:t>
            </w:r>
          </w:p>
        </w:tc>
      </w:tr>
      <w:tr w14:paraId="3552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FDD5A1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42CF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54D8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139.00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2A1C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34A2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58.67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AABB0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34.00</w:t>
            </w:r>
          </w:p>
        </w:tc>
      </w:tr>
      <w:tr w14:paraId="14472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809F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设定容积率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F1B1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7CC5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7347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F788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1.2</w:t>
            </w:r>
          </w:p>
        </w:tc>
      </w:tr>
      <w:tr w14:paraId="3E66B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7B87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楼面地价（元/m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ABD5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1158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5379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844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87BCB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677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8B98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425</w:t>
            </w:r>
          </w:p>
        </w:tc>
      </w:tr>
    </w:tbl>
    <w:p w14:paraId="504A06B6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表5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-2  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其他商业服务业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、商务金融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用地基准地价表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713"/>
        <w:gridCol w:w="1546"/>
        <w:gridCol w:w="1546"/>
        <w:gridCol w:w="1547"/>
        <w:gridCol w:w="1547"/>
      </w:tblGrid>
      <w:tr w14:paraId="6F0C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2" w:type="pct"/>
            <w:gridSpan w:val="2"/>
            <w:shd w:val="clear" w:color="auto" w:fill="auto"/>
            <w:vAlign w:val="center"/>
          </w:tcPr>
          <w:p w14:paraId="0D8D655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F429D9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9685D9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2A4253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03EAF6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四</w:t>
            </w:r>
          </w:p>
        </w:tc>
      </w:tr>
      <w:tr w14:paraId="0A81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pct"/>
            <w:vMerge w:val="restart"/>
            <w:shd w:val="clear" w:color="auto" w:fill="auto"/>
            <w:vAlign w:val="center"/>
          </w:tcPr>
          <w:p w14:paraId="7E98B93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2F5FC9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8CA7AF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7A9D3D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1275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E12AAA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6EAB8F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480</w:t>
            </w:r>
          </w:p>
        </w:tc>
      </w:tr>
      <w:tr w14:paraId="101F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pct"/>
            <w:vMerge w:val="continue"/>
            <w:vAlign w:val="center"/>
          </w:tcPr>
          <w:p w14:paraId="4C7C01E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EE60E3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E29350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113.33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4BEEA6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85.00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6074BB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53.33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007F24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32.00</w:t>
            </w:r>
          </w:p>
        </w:tc>
      </w:tr>
      <w:tr w14:paraId="65FD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2" w:type="pct"/>
            <w:gridSpan w:val="2"/>
            <w:shd w:val="clear" w:color="auto" w:fill="auto"/>
            <w:vAlign w:val="center"/>
          </w:tcPr>
          <w:p w14:paraId="5E917B8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设定容积率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E4B883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D0B960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7C4690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1.3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4FF9A4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1.2</w:t>
            </w:r>
          </w:p>
        </w:tc>
      </w:tr>
      <w:tr w14:paraId="563D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2" w:type="pct"/>
            <w:gridSpan w:val="2"/>
            <w:shd w:val="clear" w:color="auto" w:fill="auto"/>
            <w:vAlign w:val="center"/>
          </w:tcPr>
          <w:p w14:paraId="2EF204D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楼面地价（元/m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394AFA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944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3C7D69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797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1C4B94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615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8BCE3E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400</w:t>
            </w:r>
          </w:p>
        </w:tc>
      </w:tr>
    </w:tbl>
    <w:p w14:paraId="0D50EC4B">
      <w:pP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br w:type="page"/>
      </w:r>
    </w:p>
    <w:p w14:paraId="13145E49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表5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-3  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批发市场用地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基准地价表</w:t>
      </w:r>
    </w:p>
    <w:bookmarkEnd w:id="8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713"/>
        <w:gridCol w:w="1546"/>
        <w:gridCol w:w="1546"/>
        <w:gridCol w:w="1547"/>
        <w:gridCol w:w="1547"/>
      </w:tblGrid>
      <w:tr w14:paraId="3C3E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1" w:type="pct"/>
            <w:gridSpan w:val="2"/>
            <w:shd w:val="clear" w:color="auto" w:fill="auto"/>
            <w:vAlign w:val="center"/>
          </w:tcPr>
          <w:p w14:paraId="13D84C0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A27DC6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65E081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AC06A7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C66065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四</w:t>
            </w:r>
          </w:p>
        </w:tc>
      </w:tr>
      <w:tr w14:paraId="292A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pct"/>
            <w:vMerge w:val="restart"/>
            <w:shd w:val="clear" w:color="auto" w:fill="auto"/>
            <w:vAlign w:val="center"/>
          </w:tcPr>
          <w:p w14:paraId="03648F2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BA3473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82AD7F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1350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EEE85A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84FB64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645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3CFA19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410</w:t>
            </w:r>
          </w:p>
        </w:tc>
      </w:tr>
      <w:tr w14:paraId="5774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pct"/>
            <w:vMerge w:val="continue"/>
            <w:vAlign w:val="center"/>
          </w:tcPr>
          <w:p w14:paraId="728CDC6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3CB70FF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B6B476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90.00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C89D5C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60.00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096AB5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43.00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84177A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27.33</w:t>
            </w:r>
          </w:p>
        </w:tc>
      </w:tr>
      <w:tr w14:paraId="3421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1" w:type="pct"/>
            <w:gridSpan w:val="2"/>
            <w:shd w:val="clear" w:color="auto" w:fill="auto"/>
            <w:vAlign w:val="center"/>
          </w:tcPr>
          <w:p w14:paraId="1E7866E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设定容积率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1DB0B7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1.5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008DCC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1.4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2E0060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5E9B1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1FA2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1" w:type="pct"/>
            <w:gridSpan w:val="2"/>
            <w:shd w:val="clear" w:color="auto" w:fill="auto"/>
            <w:vAlign w:val="center"/>
          </w:tcPr>
          <w:p w14:paraId="792D361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楼面地价（元/m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B00489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FD6A45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643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D17001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496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5AB7B1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342</w:t>
            </w:r>
          </w:p>
        </w:tc>
      </w:tr>
      <w:bookmarkEnd w:id="9"/>
      <w:bookmarkEnd w:id="10"/>
    </w:tbl>
    <w:p w14:paraId="4BEC4EBE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bookmarkStart w:id="11" w:name="OLE_LINK2"/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表5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-4  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旅馆用地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基准地价表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713"/>
        <w:gridCol w:w="1546"/>
        <w:gridCol w:w="1546"/>
        <w:gridCol w:w="1547"/>
        <w:gridCol w:w="1547"/>
      </w:tblGrid>
      <w:tr w14:paraId="4AB7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1" w:type="pct"/>
            <w:gridSpan w:val="2"/>
            <w:shd w:val="clear" w:color="auto" w:fill="auto"/>
            <w:vAlign w:val="center"/>
          </w:tcPr>
          <w:p w14:paraId="238DB81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02CF0A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D79D7B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49CA7F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06B86D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四</w:t>
            </w:r>
          </w:p>
        </w:tc>
      </w:tr>
      <w:tr w14:paraId="30DF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pct"/>
            <w:vMerge w:val="restart"/>
            <w:shd w:val="clear" w:color="auto" w:fill="auto"/>
            <w:vAlign w:val="center"/>
          </w:tcPr>
          <w:p w14:paraId="26A39E4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47B568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789E52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915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88A420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630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7FDA52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465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1256ED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360</w:t>
            </w:r>
          </w:p>
        </w:tc>
      </w:tr>
      <w:tr w14:paraId="5423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pct"/>
            <w:vMerge w:val="continue"/>
            <w:vAlign w:val="center"/>
          </w:tcPr>
          <w:p w14:paraId="38AAA4A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D3E2F0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D9186D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61.00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2F489B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42.00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D21ADB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31.00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0785AE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24.00</w:t>
            </w:r>
          </w:p>
        </w:tc>
      </w:tr>
      <w:tr w14:paraId="52A5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1" w:type="pct"/>
            <w:gridSpan w:val="2"/>
            <w:shd w:val="clear" w:color="auto" w:fill="auto"/>
            <w:vAlign w:val="center"/>
          </w:tcPr>
          <w:p w14:paraId="605FE88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设定容积率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EE4359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1.5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D40F51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1.4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40D55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192A0A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3336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1" w:type="pct"/>
            <w:gridSpan w:val="2"/>
            <w:shd w:val="clear" w:color="auto" w:fill="auto"/>
            <w:vAlign w:val="center"/>
          </w:tcPr>
          <w:p w14:paraId="6345183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楼面地价（元/m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73631E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610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257408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450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1FAAF5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358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ACBBC3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</w:tbl>
    <w:p w14:paraId="30DCD586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6  城镇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住宅用地基准地价表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727"/>
        <w:gridCol w:w="1692"/>
        <w:gridCol w:w="1522"/>
        <w:gridCol w:w="1522"/>
        <w:gridCol w:w="1520"/>
      </w:tblGrid>
      <w:tr w14:paraId="21DA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2" w:type="pct"/>
            <w:gridSpan w:val="2"/>
            <w:vAlign w:val="center"/>
          </w:tcPr>
          <w:p w14:paraId="6174BB5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943" w:type="pct"/>
            <w:vAlign w:val="center"/>
          </w:tcPr>
          <w:p w14:paraId="19A3D7B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848" w:type="pct"/>
            <w:vAlign w:val="center"/>
          </w:tcPr>
          <w:p w14:paraId="5ECC9E4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848" w:type="pct"/>
            <w:vAlign w:val="center"/>
          </w:tcPr>
          <w:p w14:paraId="29388C2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</w:t>
            </w:r>
          </w:p>
        </w:tc>
        <w:tc>
          <w:tcPr>
            <w:tcW w:w="847" w:type="pct"/>
            <w:vAlign w:val="center"/>
          </w:tcPr>
          <w:p w14:paraId="3E06BAF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四</w:t>
            </w:r>
          </w:p>
        </w:tc>
      </w:tr>
      <w:tr w14:paraId="1E89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0" w:type="pct"/>
            <w:vMerge w:val="restart"/>
            <w:vAlign w:val="center"/>
          </w:tcPr>
          <w:p w14:paraId="0329382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961" w:type="pct"/>
            <w:vAlign w:val="center"/>
          </w:tcPr>
          <w:p w14:paraId="7A9E32B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（元/m2）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2F309AF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1395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7F1678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1180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A8313C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870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1A9242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645</w:t>
            </w:r>
          </w:p>
        </w:tc>
      </w:tr>
      <w:tr w14:paraId="6D2E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0" w:type="pct"/>
            <w:vMerge w:val="continue"/>
            <w:vAlign w:val="center"/>
          </w:tcPr>
          <w:p w14:paraId="1B466D2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vAlign w:val="center"/>
          </w:tcPr>
          <w:p w14:paraId="067EB25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5AF750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93.00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19762F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78.67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C40A29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58.00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3B3752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43.00</w:t>
            </w:r>
          </w:p>
        </w:tc>
      </w:tr>
      <w:tr w14:paraId="28E1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2" w:type="pct"/>
            <w:gridSpan w:val="2"/>
            <w:vAlign w:val="center"/>
          </w:tcPr>
          <w:p w14:paraId="6C2F3F9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设定容积率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02A11D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1.6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E73555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1.5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26D3AF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1.5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56A487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1.3</w:t>
            </w:r>
          </w:p>
        </w:tc>
      </w:tr>
      <w:tr w14:paraId="4C57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2" w:type="pct"/>
            <w:gridSpan w:val="2"/>
            <w:vAlign w:val="center"/>
          </w:tcPr>
          <w:p w14:paraId="1BA88CE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楼面地价（元/m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A5B774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872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FB1753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787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CE0EE3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851B7A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496</w:t>
            </w:r>
          </w:p>
        </w:tc>
      </w:tr>
      <w:bookmarkEnd w:id="11"/>
    </w:tbl>
    <w:p w14:paraId="674B0BCE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bookmarkStart w:id="12" w:name="OLE_LINK3"/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表7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工业用地基准地价表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40"/>
        <w:gridCol w:w="1941"/>
        <w:gridCol w:w="1939"/>
        <w:gridCol w:w="1936"/>
      </w:tblGrid>
      <w:tr w14:paraId="4087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8" w:type="pct"/>
            <w:gridSpan w:val="2"/>
            <w:vAlign w:val="center"/>
          </w:tcPr>
          <w:p w14:paraId="10BF044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1082" w:type="pct"/>
            <w:vAlign w:val="center"/>
          </w:tcPr>
          <w:p w14:paraId="4854554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工业控制区</w:t>
            </w:r>
          </w:p>
        </w:tc>
        <w:tc>
          <w:tcPr>
            <w:tcW w:w="1081" w:type="pct"/>
            <w:vAlign w:val="center"/>
          </w:tcPr>
          <w:p w14:paraId="205F6C2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1079" w:type="pct"/>
            <w:vAlign w:val="center"/>
          </w:tcPr>
          <w:p w14:paraId="3382790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</w:tr>
      <w:tr w14:paraId="51A4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pct"/>
            <w:vMerge w:val="restart"/>
            <w:vAlign w:val="center"/>
          </w:tcPr>
          <w:p w14:paraId="53A1D8A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970" w:type="pct"/>
            <w:vAlign w:val="center"/>
          </w:tcPr>
          <w:p w14:paraId="14A30FF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082" w:type="pct"/>
            <w:vAlign w:val="center"/>
          </w:tcPr>
          <w:p w14:paraId="21B18B5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/</w:t>
            </w:r>
          </w:p>
        </w:tc>
        <w:tc>
          <w:tcPr>
            <w:tcW w:w="1908" w:type="dxa"/>
            <w:vAlign w:val="center"/>
          </w:tcPr>
          <w:p w14:paraId="15E349D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1904" w:type="dxa"/>
            <w:vAlign w:val="center"/>
          </w:tcPr>
          <w:p w14:paraId="2285929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210</w:t>
            </w:r>
          </w:p>
        </w:tc>
      </w:tr>
      <w:tr w14:paraId="3935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pct"/>
            <w:vMerge w:val="continue"/>
            <w:vAlign w:val="center"/>
          </w:tcPr>
          <w:p w14:paraId="748BBA6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43396B1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1082" w:type="pct"/>
            <w:vAlign w:val="center"/>
          </w:tcPr>
          <w:p w14:paraId="3606AA5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/</w:t>
            </w:r>
          </w:p>
        </w:tc>
        <w:tc>
          <w:tcPr>
            <w:tcW w:w="1081" w:type="pct"/>
            <w:vAlign w:val="center"/>
          </w:tcPr>
          <w:p w14:paraId="544CD68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16.00</w:t>
            </w:r>
          </w:p>
        </w:tc>
        <w:tc>
          <w:tcPr>
            <w:tcW w:w="1079" w:type="pct"/>
            <w:vAlign w:val="center"/>
          </w:tcPr>
          <w:p w14:paraId="2CDDAA4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.00</w:t>
            </w:r>
          </w:p>
        </w:tc>
      </w:tr>
      <w:tr w14:paraId="7B3F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8" w:type="pct"/>
            <w:gridSpan w:val="2"/>
            <w:vAlign w:val="center"/>
          </w:tcPr>
          <w:p w14:paraId="070B64E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设定容积率</w:t>
            </w:r>
          </w:p>
        </w:tc>
        <w:tc>
          <w:tcPr>
            <w:tcW w:w="1082" w:type="pct"/>
            <w:vAlign w:val="center"/>
          </w:tcPr>
          <w:p w14:paraId="5AC0475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/</w:t>
            </w:r>
          </w:p>
        </w:tc>
        <w:tc>
          <w:tcPr>
            <w:tcW w:w="1081" w:type="pct"/>
            <w:vAlign w:val="center"/>
          </w:tcPr>
          <w:p w14:paraId="378D62F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79" w:type="pct"/>
            <w:vAlign w:val="center"/>
          </w:tcPr>
          <w:p w14:paraId="458AE7D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bookmarkEnd w:id="12"/>
    </w:tbl>
    <w:p w14:paraId="46DEF4BE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bookmarkStart w:id="13" w:name="OLE_LINK4"/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表8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公共管理与公共服务用地基准地价表</w:t>
      </w:r>
    </w:p>
    <w:bookmarkEnd w:id="13"/>
    <w:p w14:paraId="2E0AF75C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表8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-1  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医疗卫生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用地基准地价表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053"/>
        <w:gridCol w:w="1857"/>
        <w:gridCol w:w="1857"/>
        <w:gridCol w:w="1858"/>
      </w:tblGrid>
      <w:tr w14:paraId="41FC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8EB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5DB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421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EDB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</w:t>
            </w:r>
          </w:p>
        </w:tc>
      </w:tr>
      <w:tr w14:paraId="2C5D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850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6E2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D6E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420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2925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917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320</w:t>
            </w:r>
          </w:p>
        </w:tc>
      </w:tr>
      <w:tr w14:paraId="472FE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05F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8AB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EE51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28.00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D62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23.33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BED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21.33</w:t>
            </w:r>
          </w:p>
        </w:tc>
      </w:tr>
      <w:tr w14:paraId="46A9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559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设定容积率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51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1.3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C25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C3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1.0</w:t>
            </w:r>
          </w:p>
        </w:tc>
      </w:tr>
      <w:tr w14:paraId="5D8B1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EFE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楼面地价（元/m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C8E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323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436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3D3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320</w:t>
            </w:r>
          </w:p>
        </w:tc>
      </w:tr>
    </w:tbl>
    <w:p w14:paraId="01FCDAE7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表8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-2  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文化用地、体育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用地基准地价表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053"/>
        <w:gridCol w:w="1857"/>
        <w:gridCol w:w="1857"/>
        <w:gridCol w:w="1858"/>
      </w:tblGrid>
      <w:tr w14:paraId="6ADCD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B191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D4B7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CA55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1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9A0A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</w:t>
            </w:r>
          </w:p>
        </w:tc>
      </w:tr>
      <w:tr w14:paraId="48C1E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24CA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B7C6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D8B6E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896E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345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2E3C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315</w:t>
            </w:r>
          </w:p>
        </w:tc>
      </w:tr>
      <w:tr w14:paraId="16214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2E0B1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07AC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60D2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26.67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431E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23.00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BDAC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21.00</w:t>
            </w:r>
          </w:p>
        </w:tc>
      </w:tr>
      <w:tr w14:paraId="59B6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814C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设定容积率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DB5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0A10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B5DC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1.0</w:t>
            </w:r>
          </w:p>
        </w:tc>
      </w:tr>
      <w:tr w14:paraId="191CE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F84C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楼面地价（元/m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3876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5CD6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A7CB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315</w:t>
            </w:r>
          </w:p>
        </w:tc>
      </w:tr>
    </w:tbl>
    <w:p w14:paraId="01B069FE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表8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-3  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科研用地、教育用地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基准地价表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027"/>
        <w:gridCol w:w="1857"/>
        <w:gridCol w:w="1857"/>
        <w:gridCol w:w="1858"/>
      </w:tblGrid>
      <w:tr w14:paraId="12C3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0E6C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02C9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BD03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1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F16C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</w:t>
            </w:r>
          </w:p>
        </w:tc>
      </w:tr>
      <w:tr w14:paraId="73CE6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2DE5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4253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0191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83A4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330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C5C2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310</w:t>
            </w:r>
          </w:p>
        </w:tc>
      </w:tr>
      <w:tr w14:paraId="36BC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79E29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C09C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DF98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25.67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85B8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22.00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BE533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20.67</w:t>
            </w:r>
          </w:p>
        </w:tc>
      </w:tr>
      <w:tr w14:paraId="3E65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8CFA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设定容积率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3F78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237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D2C4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1.0</w:t>
            </w:r>
          </w:p>
        </w:tc>
      </w:tr>
      <w:tr w14:paraId="4B94A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5DFB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楼面地价（元/m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5B17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026E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27D4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310</w:t>
            </w:r>
          </w:p>
        </w:tc>
      </w:tr>
    </w:tbl>
    <w:p w14:paraId="66404949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表8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-4  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社会福利用地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基准地价表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040"/>
        <w:gridCol w:w="1853"/>
        <w:gridCol w:w="1853"/>
        <w:gridCol w:w="1853"/>
      </w:tblGrid>
      <w:tr w14:paraId="6EB82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4CF3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FD4A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4BB0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7EAE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</w:t>
            </w:r>
          </w:p>
        </w:tc>
      </w:tr>
      <w:tr w14:paraId="1788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B382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5FAC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E45F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365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FBF0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B379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 w14:paraId="1516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AC47C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FAF4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3A1E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24.33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3F43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21.00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391C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20.00</w:t>
            </w:r>
          </w:p>
        </w:tc>
      </w:tr>
      <w:tr w14:paraId="3E20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A88F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设定容积率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1C1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5C8A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A68D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1.0</w:t>
            </w:r>
          </w:p>
        </w:tc>
      </w:tr>
      <w:tr w14:paraId="2BB81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0530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楼面地价（元/m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85AB8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281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DAB3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E756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</w:tbl>
    <w:p w14:paraId="1FCD445B">
      <w:pPr>
        <w:spacing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9  公用设施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用地基准地价表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040"/>
        <w:gridCol w:w="1853"/>
        <w:gridCol w:w="1853"/>
        <w:gridCol w:w="1853"/>
      </w:tblGrid>
      <w:tr w14:paraId="50D15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682F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AFE9B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2600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B896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</w:t>
            </w:r>
          </w:p>
        </w:tc>
      </w:tr>
      <w:tr w14:paraId="316EE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071CD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基准地价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D9A5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（元/m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7D67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345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A50E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7811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225</w:t>
            </w:r>
          </w:p>
        </w:tc>
      </w:tr>
      <w:tr w14:paraId="65A9C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109DB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975A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（万元/亩）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26A1BE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690755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B17586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</w:tbl>
    <w:p w14:paraId="2DC42060">
      <w:pPr>
        <w:widowControl/>
        <w:spacing w:line="36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城区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土地定级范围以外的区域，参照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城区各类型用地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末级地进行评估。</w:t>
      </w:r>
    </w:p>
    <w:p w14:paraId="3B741592">
      <w:pPr>
        <w:tabs>
          <w:tab w:val="left" w:pos="3770"/>
        </w:tabs>
        <w:bidi w:val="0"/>
        <w:jc w:val="left"/>
        <w:rPr>
          <w:rFonts w:ascii="方正小标宋简体" w:hAnsi="宋体" w:eastAsia="方正小标宋简体" w:cs="仿宋_GB2312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44"/>
          <w:szCs w:val="44"/>
          <w:lang w:val="en-US" w:eastAsia="zh-CN" w:bidi="ar-SA"/>
        </w:rPr>
        <w:tab/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80468"/>
    <w:rsid w:val="16F2564D"/>
    <w:rsid w:val="1CA51664"/>
    <w:rsid w:val="23D63B54"/>
    <w:rsid w:val="25907C27"/>
    <w:rsid w:val="286C72C9"/>
    <w:rsid w:val="33B16D42"/>
    <w:rsid w:val="3D1233C0"/>
    <w:rsid w:val="41831E8F"/>
    <w:rsid w:val="45CE26E6"/>
    <w:rsid w:val="47DF3BBE"/>
    <w:rsid w:val="605338BF"/>
    <w:rsid w:val="6A5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宋体" w:eastAsia="方正小标宋简体" w:cs="仿宋_GB2312"/>
      <w:color w:val="000000"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1539</Words>
  <Characters>1953</Characters>
  <Lines>0</Lines>
  <Paragraphs>0</Paragraphs>
  <TotalTime>0</TotalTime>
  <ScaleCrop>false</ScaleCrop>
  <LinksUpToDate>false</LinksUpToDate>
  <CharactersWithSpaces>1988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2026-01-05T01:06:00Z</dcterms:created>
  <dc:creator>96109</dc:creator>
  <cp:lastModifiedBy>钱健</cp:lastModifiedBy>
  <dcterms:modified xsi:type="dcterms:W3CDTF">2026-02-03T09:26:20Z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eyJoZGlkIjoiMzk3YWVlNGJhNWY1NGRhNzRjNjliNGM4MmJhNTY1NTEiLCJ1c2VySWQiOiIzMDI5NzcyMzYifQ==</vt:lpwstr>
  </property>
  <property fmtid="{D5CDD505-2E9C-101B-9397-08002B2CF9AE}" pid="4" name="ICV">
    <vt:lpwstr>AB1EC70C6D6C4A70B11E257FCD3A812F_12</vt:lpwstr>
  </property>
</Properties>
</file>