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F0810">
      <w:pPr>
        <w:widowControl/>
        <w:spacing w:line="570" w:lineRule="exact"/>
        <w:jc w:val="left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bookmarkStart w:id="0" w:name="_Hlk59803396"/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3</w:t>
      </w:r>
    </w:p>
    <w:p w14:paraId="12B48CCB">
      <w:pPr>
        <w:widowControl/>
        <w:spacing w:line="570" w:lineRule="exac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kern w:val="0"/>
        </w:rPr>
        <w:t>黄山</w:t>
      </w:r>
      <w:r>
        <w:rPr>
          <w:rFonts w:ascii="Times New Roman" w:hAnsi="Times New Roman" w:cs="Times New Roman"/>
          <w:color w:val="auto"/>
          <w:spacing w:val="-4"/>
          <w:kern w:val="0"/>
        </w:rPr>
        <w:t>区乡镇土地级别</w:t>
      </w:r>
      <w:r>
        <w:rPr>
          <w:rFonts w:hint="eastAsia" w:ascii="Times New Roman" w:hAnsi="Times New Roman" w:cs="Times New Roman"/>
          <w:color w:val="auto"/>
          <w:spacing w:val="-4"/>
          <w:kern w:val="0"/>
          <w:lang w:val="en-US" w:eastAsia="zh-CN"/>
        </w:rPr>
        <w:t>与</w:t>
      </w:r>
      <w:r>
        <w:rPr>
          <w:rFonts w:ascii="Times New Roman" w:hAnsi="Times New Roman" w:cs="Times New Roman"/>
          <w:color w:val="auto"/>
          <w:spacing w:val="-4"/>
          <w:kern w:val="0"/>
        </w:rPr>
        <w:t>基准地价表</w:t>
      </w:r>
    </w:p>
    <w:bookmarkEnd w:id="0"/>
    <w:p w14:paraId="2C65E063">
      <w:pPr>
        <w:spacing w:line="570" w:lineRule="exact"/>
        <w:ind w:firstLine="640" w:firstLineChars="200"/>
        <w:rPr>
          <w:rFonts w:ascii="Times New Roman" w:hAnsi="Times New Roman" w:eastAsia="方正仿宋简体" w:cs="Times New Roman"/>
          <w:color w:val="auto"/>
          <w:sz w:val="32"/>
          <w:szCs w:val="32"/>
        </w:rPr>
      </w:pPr>
    </w:p>
    <w:p w14:paraId="16A68941">
      <w:pPr>
        <w:spacing w:line="57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一、乡镇土地级别分布范围</w:t>
      </w:r>
    </w:p>
    <w:p w14:paraId="5CEB7F30">
      <w:pPr>
        <w:spacing w:line="570" w:lineRule="exact"/>
        <w:jc w:val="center"/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</w:pP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表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  <w:t xml:space="preserve">1  </w:t>
      </w: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乡镇土地级别分布范围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  <w:t>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129"/>
        <w:gridCol w:w="1185"/>
        <w:gridCol w:w="5837"/>
      </w:tblGrid>
      <w:tr w14:paraId="25D57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tblHeader/>
          <w:jc w:val="center"/>
        </w:trPr>
        <w:tc>
          <w:tcPr>
            <w:tcW w:w="827" w:type="dxa"/>
            <w:noWrap w:val="0"/>
            <w:vAlign w:val="center"/>
          </w:tcPr>
          <w:p w14:paraId="76FA519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bookmarkStart w:id="1" w:name="OLE_LINK49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41" w:type="dxa"/>
            <w:noWrap w:val="0"/>
            <w:vAlign w:val="center"/>
          </w:tcPr>
          <w:p w14:paraId="5BA49F6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乡镇</w:t>
            </w:r>
          </w:p>
        </w:tc>
        <w:tc>
          <w:tcPr>
            <w:tcW w:w="1198" w:type="dxa"/>
            <w:noWrap w:val="0"/>
            <w:vAlign w:val="center"/>
          </w:tcPr>
          <w:p w14:paraId="4F411B6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级别</w:t>
            </w:r>
          </w:p>
        </w:tc>
        <w:tc>
          <w:tcPr>
            <w:tcW w:w="5913" w:type="dxa"/>
            <w:noWrap w:val="0"/>
            <w:vAlign w:val="center"/>
          </w:tcPr>
          <w:p w14:paraId="5659B6C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土地级别分布</w:t>
            </w:r>
          </w:p>
        </w:tc>
      </w:tr>
      <w:tr w14:paraId="58D80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 w14:paraId="412D870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41" w:type="dxa"/>
            <w:vMerge w:val="restart"/>
            <w:noWrap w:val="0"/>
            <w:vAlign w:val="center"/>
          </w:tcPr>
          <w:p w14:paraId="7E5CCBC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汤口镇</w:t>
            </w:r>
          </w:p>
        </w:tc>
        <w:tc>
          <w:tcPr>
            <w:tcW w:w="1198" w:type="dxa"/>
            <w:noWrap w:val="0"/>
            <w:vAlign w:val="center"/>
          </w:tcPr>
          <w:p w14:paraId="03C6BCB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一级地</w:t>
            </w:r>
          </w:p>
        </w:tc>
        <w:tc>
          <w:tcPr>
            <w:tcW w:w="5913" w:type="dxa"/>
            <w:noWrap w:val="0"/>
            <w:vAlign w:val="center"/>
          </w:tcPr>
          <w:p w14:paraId="3FA26434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北至汤泉酒店以北200米，南至山水名苑，西至交通运输局，东至黄山汉实国际文化园</w:t>
            </w:r>
          </w:p>
        </w:tc>
      </w:tr>
      <w:tr w14:paraId="570AF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3DEB4D0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172FEF4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17DB3F3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二级地</w:t>
            </w:r>
          </w:p>
        </w:tc>
        <w:tc>
          <w:tcPr>
            <w:tcW w:w="5913" w:type="dxa"/>
            <w:noWrap w:val="0"/>
            <w:vAlign w:val="center"/>
          </w:tcPr>
          <w:p w14:paraId="7A3D48B6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定级范围内剩余区域</w:t>
            </w:r>
          </w:p>
        </w:tc>
      </w:tr>
      <w:tr w14:paraId="31C6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 w14:paraId="5379841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41" w:type="dxa"/>
            <w:vMerge w:val="restart"/>
            <w:noWrap w:val="0"/>
            <w:vAlign w:val="center"/>
          </w:tcPr>
          <w:p w14:paraId="69405AA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谭家桥镇</w:t>
            </w:r>
          </w:p>
        </w:tc>
        <w:tc>
          <w:tcPr>
            <w:tcW w:w="1198" w:type="dxa"/>
            <w:noWrap w:val="0"/>
            <w:vAlign w:val="center"/>
          </w:tcPr>
          <w:p w14:paraId="70B7E1D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一级地</w:t>
            </w:r>
          </w:p>
        </w:tc>
        <w:tc>
          <w:tcPr>
            <w:tcW w:w="5913" w:type="dxa"/>
            <w:noWrap w:val="0"/>
            <w:vAlign w:val="center"/>
          </w:tcPr>
          <w:p w14:paraId="5E45C13F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北至谭家桥镇镇政府，南至茶林场服务队，西至京台高速、丰大国际温泉度假区，东至麻川河以东500米</w:t>
            </w:r>
          </w:p>
        </w:tc>
      </w:tr>
      <w:tr w14:paraId="5E3D3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5FEC9BB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78C12F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02956DF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二级地</w:t>
            </w:r>
          </w:p>
        </w:tc>
        <w:tc>
          <w:tcPr>
            <w:tcW w:w="5913" w:type="dxa"/>
            <w:noWrap w:val="0"/>
            <w:vAlign w:val="center"/>
          </w:tcPr>
          <w:p w14:paraId="3BF975F1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北至麻川河，南至东黄山路，西至京台高速，东至谭家桥客运中心站</w:t>
            </w:r>
          </w:p>
        </w:tc>
      </w:tr>
      <w:tr w14:paraId="6BAF3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64002AD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DABDF6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3BA8244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三级地</w:t>
            </w:r>
          </w:p>
        </w:tc>
        <w:tc>
          <w:tcPr>
            <w:tcW w:w="5913" w:type="dxa"/>
            <w:noWrap w:val="0"/>
            <w:vAlign w:val="center"/>
          </w:tcPr>
          <w:p w14:paraId="54E26E81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定级范围内剩余区域</w:t>
            </w:r>
          </w:p>
        </w:tc>
      </w:tr>
      <w:tr w14:paraId="60AD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 w14:paraId="1D2AECF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41" w:type="dxa"/>
            <w:vMerge w:val="restart"/>
            <w:noWrap w:val="0"/>
            <w:vAlign w:val="center"/>
          </w:tcPr>
          <w:p w14:paraId="0DA8A96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耿城镇</w:t>
            </w:r>
          </w:p>
        </w:tc>
        <w:tc>
          <w:tcPr>
            <w:tcW w:w="1198" w:type="dxa"/>
            <w:noWrap w:val="0"/>
            <w:vAlign w:val="center"/>
          </w:tcPr>
          <w:p w14:paraId="2554DDB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一级地</w:t>
            </w:r>
          </w:p>
        </w:tc>
        <w:tc>
          <w:tcPr>
            <w:tcW w:w="5913" w:type="dxa"/>
            <w:noWrap w:val="0"/>
            <w:vAlign w:val="center"/>
          </w:tcPr>
          <w:p w14:paraId="51C5A95F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区域一：浦溪云居以北镇区；区域二：甘芙路两侧区域</w:t>
            </w:r>
          </w:p>
        </w:tc>
      </w:tr>
      <w:tr w14:paraId="7AA75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6502028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4E37F5D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7F8ECF4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二级地</w:t>
            </w:r>
          </w:p>
        </w:tc>
        <w:tc>
          <w:tcPr>
            <w:tcW w:w="5913" w:type="dxa"/>
            <w:noWrap w:val="0"/>
            <w:vAlign w:val="center"/>
          </w:tcPr>
          <w:p w14:paraId="6BA6A1F7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区域一：城辅路以西区域；区域二：章坦路以北，大乌口以东区域；区域三：浦溪河以东，董家文水库以东区域</w:t>
            </w:r>
          </w:p>
        </w:tc>
      </w:tr>
      <w:tr w14:paraId="0A0A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7FFDE3F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7F8E030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1CD1163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三级地</w:t>
            </w:r>
          </w:p>
        </w:tc>
        <w:tc>
          <w:tcPr>
            <w:tcW w:w="5913" w:type="dxa"/>
            <w:noWrap w:val="0"/>
            <w:vAlign w:val="center"/>
          </w:tcPr>
          <w:p w14:paraId="5A8CEA4C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定级范围内剩余区域</w:t>
            </w:r>
          </w:p>
        </w:tc>
      </w:tr>
      <w:tr w14:paraId="7B0E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27" w:type="dxa"/>
            <w:noWrap w:val="0"/>
            <w:vAlign w:val="center"/>
          </w:tcPr>
          <w:p w14:paraId="7F9B564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41" w:type="dxa"/>
            <w:noWrap w:val="0"/>
            <w:vAlign w:val="center"/>
          </w:tcPr>
          <w:p w14:paraId="25E6ABC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太平湖镇</w:t>
            </w:r>
          </w:p>
        </w:tc>
        <w:tc>
          <w:tcPr>
            <w:tcW w:w="1198" w:type="dxa"/>
            <w:noWrap w:val="0"/>
            <w:vAlign w:val="center"/>
          </w:tcPr>
          <w:p w14:paraId="484CFE0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一级地</w:t>
            </w:r>
          </w:p>
        </w:tc>
        <w:tc>
          <w:tcPr>
            <w:tcW w:w="5913" w:type="dxa"/>
            <w:noWrap w:val="0"/>
            <w:vAlign w:val="center"/>
          </w:tcPr>
          <w:p w14:paraId="39DF91FE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北至太平湖，南至京台高速，西至太平湖云水湾以西400米，东至太平湖观光平台</w:t>
            </w:r>
          </w:p>
        </w:tc>
      </w:tr>
      <w:tr w14:paraId="78CB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 w14:paraId="263456A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41" w:type="dxa"/>
            <w:vMerge w:val="restart"/>
            <w:noWrap w:val="0"/>
            <w:vAlign w:val="center"/>
          </w:tcPr>
          <w:p w14:paraId="30E63DB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焦村镇</w:t>
            </w:r>
          </w:p>
        </w:tc>
        <w:tc>
          <w:tcPr>
            <w:tcW w:w="1198" w:type="dxa"/>
            <w:noWrap w:val="0"/>
            <w:vAlign w:val="center"/>
          </w:tcPr>
          <w:p w14:paraId="2941F47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一级地</w:t>
            </w:r>
          </w:p>
        </w:tc>
        <w:tc>
          <w:tcPr>
            <w:tcW w:w="5913" w:type="dxa"/>
            <w:noWrap w:val="0"/>
            <w:vAlign w:val="center"/>
          </w:tcPr>
          <w:p w14:paraId="441CE9E9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北至中国石化以北500米，南至530国道、606省道，西至池黄高铁以东100米，东至城镇开发边界</w:t>
            </w:r>
          </w:p>
        </w:tc>
      </w:tr>
      <w:tr w14:paraId="2BA78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4B9D0BF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20FD66A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6F5B8B3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二级地</w:t>
            </w:r>
          </w:p>
        </w:tc>
        <w:tc>
          <w:tcPr>
            <w:tcW w:w="5913" w:type="dxa"/>
            <w:noWrap w:val="0"/>
            <w:vAlign w:val="center"/>
          </w:tcPr>
          <w:p w14:paraId="67B0ED88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定级范围内剩余区域</w:t>
            </w:r>
          </w:p>
        </w:tc>
      </w:tr>
      <w:tr w14:paraId="3186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 w14:paraId="13A5CF4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41" w:type="dxa"/>
            <w:vMerge w:val="restart"/>
            <w:noWrap w:val="0"/>
            <w:vAlign w:val="center"/>
          </w:tcPr>
          <w:p w14:paraId="14D1D00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仙源镇</w:t>
            </w:r>
          </w:p>
        </w:tc>
        <w:tc>
          <w:tcPr>
            <w:tcW w:w="1198" w:type="dxa"/>
            <w:noWrap w:val="0"/>
            <w:vAlign w:val="center"/>
          </w:tcPr>
          <w:p w14:paraId="6D0C4C2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一级地</w:t>
            </w:r>
          </w:p>
        </w:tc>
        <w:tc>
          <w:tcPr>
            <w:tcW w:w="5913" w:type="dxa"/>
            <w:noWrap w:val="0"/>
            <w:vAlign w:val="center"/>
          </w:tcPr>
          <w:p w14:paraId="76DB2518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北至小瑶路，南至红星建材市场，西至龙山路，东至麻川河</w:t>
            </w:r>
          </w:p>
        </w:tc>
      </w:tr>
      <w:tr w14:paraId="76EA9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 w14:paraId="7433650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 w14:paraId="010E280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15E45E0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二级地</w:t>
            </w:r>
          </w:p>
        </w:tc>
        <w:tc>
          <w:tcPr>
            <w:tcW w:w="5913" w:type="dxa"/>
            <w:noWrap w:val="0"/>
            <w:vAlign w:val="center"/>
          </w:tcPr>
          <w:p w14:paraId="3ED8E0B1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定级范围内剩余区域</w:t>
            </w:r>
          </w:p>
        </w:tc>
      </w:tr>
      <w:tr w14:paraId="68EFC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27" w:type="dxa"/>
            <w:noWrap w:val="0"/>
            <w:vAlign w:val="center"/>
          </w:tcPr>
          <w:p w14:paraId="765284D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41" w:type="dxa"/>
            <w:noWrap w:val="0"/>
            <w:vAlign w:val="center"/>
          </w:tcPr>
          <w:p w14:paraId="3562EA6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三口镇</w:t>
            </w:r>
          </w:p>
        </w:tc>
        <w:tc>
          <w:tcPr>
            <w:tcW w:w="1198" w:type="dxa"/>
            <w:noWrap w:val="0"/>
            <w:vAlign w:val="center"/>
          </w:tcPr>
          <w:p w14:paraId="42859C3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一级地</w:t>
            </w:r>
          </w:p>
        </w:tc>
        <w:tc>
          <w:tcPr>
            <w:tcW w:w="5913" w:type="dxa"/>
            <w:noWrap w:val="0"/>
            <w:vAlign w:val="center"/>
          </w:tcPr>
          <w:p w14:paraId="662E514C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北至林业站，南至三口粮站，西至三口路以西160米，东至麻川河、黄山夫子汉语学校</w:t>
            </w:r>
          </w:p>
        </w:tc>
      </w:tr>
      <w:tr w14:paraId="0CE02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27" w:type="dxa"/>
            <w:noWrap w:val="0"/>
            <w:vAlign w:val="center"/>
          </w:tcPr>
          <w:p w14:paraId="33F6675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41" w:type="dxa"/>
            <w:noWrap w:val="0"/>
            <w:vAlign w:val="center"/>
          </w:tcPr>
          <w:p w14:paraId="3927E06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乌石镇</w:t>
            </w:r>
          </w:p>
        </w:tc>
        <w:tc>
          <w:tcPr>
            <w:tcW w:w="1198" w:type="dxa"/>
            <w:noWrap w:val="0"/>
            <w:vAlign w:val="center"/>
          </w:tcPr>
          <w:p w14:paraId="0134438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一级地</w:t>
            </w:r>
          </w:p>
        </w:tc>
        <w:tc>
          <w:tcPr>
            <w:tcW w:w="5913" w:type="dxa"/>
            <w:noWrap w:val="0"/>
            <w:vAlign w:val="center"/>
          </w:tcPr>
          <w:p w14:paraId="2B2342A6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北至外环路以北100米，南至镇政府，西至太子河，东至弘亮生物以东180，米、外环路</w:t>
            </w:r>
          </w:p>
        </w:tc>
      </w:tr>
      <w:tr w14:paraId="0ACD3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27" w:type="dxa"/>
            <w:noWrap w:val="0"/>
            <w:vAlign w:val="center"/>
          </w:tcPr>
          <w:p w14:paraId="02E49EE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141" w:type="dxa"/>
            <w:noWrap w:val="0"/>
            <w:vAlign w:val="center"/>
          </w:tcPr>
          <w:p w14:paraId="65733D8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新华乡</w:t>
            </w:r>
          </w:p>
        </w:tc>
        <w:tc>
          <w:tcPr>
            <w:tcW w:w="1198" w:type="dxa"/>
            <w:noWrap w:val="0"/>
            <w:vAlign w:val="center"/>
          </w:tcPr>
          <w:p w14:paraId="357C300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一级地</w:t>
            </w:r>
          </w:p>
        </w:tc>
        <w:tc>
          <w:tcPr>
            <w:tcW w:w="5913" w:type="dxa"/>
            <w:noWrap w:val="0"/>
            <w:vAlign w:val="center"/>
          </w:tcPr>
          <w:p w14:paraId="2B6ED924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北至新华加油站以北100米，南至黄山市火祖烟具有限公司，西至林地，东至605省道</w:t>
            </w:r>
          </w:p>
        </w:tc>
      </w:tr>
      <w:tr w14:paraId="75D9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27" w:type="dxa"/>
            <w:noWrap w:val="0"/>
            <w:vAlign w:val="center"/>
          </w:tcPr>
          <w:p w14:paraId="45F6C62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41" w:type="dxa"/>
            <w:noWrap w:val="0"/>
            <w:vAlign w:val="center"/>
          </w:tcPr>
          <w:p w14:paraId="1215856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新明乡</w:t>
            </w:r>
          </w:p>
        </w:tc>
        <w:tc>
          <w:tcPr>
            <w:tcW w:w="1198" w:type="dxa"/>
            <w:noWrap w:val="0"/>
            <w:vAlign w:val="center"/>
          </w:tcPr>
          <w:p w14:paraId="717D84E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一级地</w:t>
            </w:r>
          </w:p>
        </w:tc>
        <w:tc>
          <w:tcPr>
            <w:tcW w:w="5913" w:type="dxa"/>
            <w:noWrap w:val="0"/>
            <w:vAlign w:val="center"/>
          </w:tcPr>
          <w:p w14:paraId="6C09D2F1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北至330国道以北160米，南至330国道以南100米，西至太平猴魁茶城以西50米，东至猴村大北坑茶叶加工厂</w:t>
            </w:r>
          </w:p>
        </w:tc>
      </w:tr>
      <w:tr w14:paraId="3CA3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27" w:type="dxa"/>
            <w:noWrap w:val="0"/>
            <w:vAlign w:val="center"/>
          </w:tcPr>
          <w:p w14:paraId="36C90A5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141" w:type="dxa"/>
            <w:noWrap w:val="0"/>
            <w:vAlign w:val="center"/>
          </w:tcPr>
          <w:p w14:paraId="58104BA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龙门乡</w:t>
            </w:r>
          </w:p>
        </w:tc>
        <w:tc>
          <w:tcPr>
            <w:tcW w:w="1198" w:type="dxa"/>
            <w:noWrap w:val="0"/>
            <w:vAlign w:val="center"/>
          </w:tcPr>
          <w:p w14:paraId="0A54387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一级地</w:t>
            </w:r>
          </w:p>
        </w:tc>
        <w:tc>
          <w:tcPr>
            <w:tcW w:w="5913" w:type="dxa"/>
            <w:noWrap w:val="0"/>
            <w:vAlign w:val="center"/>
          </w:tcPr>
          <w:p w14:paraId="26251E6F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北至于村口公交站台，南至龙门中心学校以南100米，西至龙太公路，东至龙门河</w:t>
            </w:r>
          </w:p>
        </w:tc>
      </w:tr>
      <w:tr w14:paraId="073A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27" w:type="dxa"/>
            <w:noWrap w:val="0"/>
            <w:vAlign w:val="center"/>
          </w:tcPr>
          <w:p w14:paraId="24A1170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141" w:type="dxa"/>
            <w:noWrap w:val="0"/>
            <w:vAlign w:val="center"/>
          </w:tcPr>
          <w:p w14:paraId="35058BD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新丰乡</w:t>
            </w:r>
          </w:p>
        </w:tc>
        <w:tc>
          <w:tcPr>
            <w:tcW w:w="1198" w:type="dxa"/>
            <w:noWrap w:val="0"/>
            <w:vAlign w:val="center"/>
          </w:tcPr>
          <w:p w14:paraId="04917A4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一级地</w:t>
            </w:r>
          </w:p>
        </w:tc>
        <w:tc>
          <w:tcPr>
            <w:tcW w:w="5913" w:type="dxa"/>
            <w:noWrap w:val="0"/>
            <w:vAlign w:val="center"/>
          </w:tcPr>
          <w:p w14:paraId="7BFD435A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北至笋姑娘食品厂以北300米，南至半边亭，西至张家坞，东至新丰中心学校</w:t>
            </w:r>
          </w:p>
        </w:tc>
      </w:tr>
      <w:tr w14:paraId="116AC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27" w:type="dxa"/>
            <w:noWrap w:val="0"/>
            <w:vAlign w:val="center"/>
          </w:tcPr>
          <w:p w14:paraId="595C67F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141" w:type="dxa"/>
            <w:noWrap w:val="0"/>
            <w:vAlign w:val="center"/>
          </w:tcPr>
          <w:p w14:paraId="1BE2717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永丰乡</w:t>
            </w:r>
          </w:p>
        </w:tc>
        <w:tc>
          <w:tcPr>
            <w:tcW w:w="1198" w:type="dxa"/>
            <w:noWrap w:val="0"/>
            <w:vAlign w:val="center"/>
          </w:tcPr>
          <w:p w14:paraId="68ABA58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一级地</w:t>
            </w:r>
          </w:p>
        </w:tc>
        <w:tc>
          <w:tcPr>
            <w:tcW w:w="5913" w:type="dxa"/>
            <w:noWrap w:val="0"/>
            <w:vAlign w:val="center"/>
          </w:tcPr>
          <w:p w14:paraId="1FDE913A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区域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：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北至永丰中心学校，南至农技推广站以南500米，西至皖平粮油厂，东至洙溪河</w:t>
            </w:r>
          </w:p>
          <w:p w14:paraId="42F20954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区域二：北至万祥路，南至太平湖，西至林地，东至林地</w:t>
            </w:r>
          </w:p>
        </w:tc>
      </w:tr>
      <w:bookmarkEnd w:id="1"/>
    </w:tbl>
    <w:p w14:paraId="2F4C6EAF">
      <w:pPr>
        <w:widowControl/>
        <w:spacing w:line="360" w:lineRule="exact"/>
        <w:jc w:val="left"/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>备注：（1）二级地区域需扣除一级地区域，三级地区域需扣除二级地区域，依次类推；</w:t>
      </w:r>
    </w:p>
    <w:p w14:paraId="32EBB827">
      <w:pPr>
        <w:widowControl/>
        <w:spacing w:line="360" w:lineRule="exact"/>
        <w:jc w:val="left"/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>（2）详见土地级别图。</w:t>
      </w:r>
    </w:p>
    <w:p w14:paraId="703C71DC">
      <w:pPr>
        <w:tabs>
          <w:tab w:val="left" w:pos="6199"/>
        </w:tabs>
        <w:spacing w:line="440" w:lineRule="exact"/>
        <w:ind w:firstLine="945" w:firstLineChars="450"/>
        <w:jc w:val="left"/>
        <w:rPr>
          <w:rFonts w:ascii="宋体" w:eastAsia="宋体" w:cs="Times New Roman"/>
          <w:color w:val="auto"/>
          <w:sz w:val="21"/>
          <w:szCs w:val="21"/>
        </w:rPr>
      </w:pPr>
    </w:p>
    <w:p w14:paraId="0471984F">
      <w:pPr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ascii="Times New Roman" w:hAnsi="Times New Roman" w:eastAsia="黑体" w:cs="Times New Roman"/>
          <w:color w:val="auto"/>
          <w:sz w:val="28"/>
          <w:szCs w:val="28"/>
        </w:rPr>
        <w:br w:type="page"/>
      </w:r>
    </w:p>
    <w:p w14:paraId="3540AEE7">
      <w:pPr>
        <w:spacing w:line="480" w:lineRule="exact"/>
        <w:ind w:firstLine="560" w:firstLineChars="200"/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ascii="Times New Roman" w:hAnsi="Times New Roman" w:eastAsia="黑体" w:cs="Times New Roman"/>
          <w:color w:val="auto"/>
          <w:sz w:val="28"/>
          <w:szCs w:val="28"/>
        </w:rPr>
        <w:t>二、乡镇基准地价更新成果</w:t>
      </w:r>
    </w:p>
    <w:p w14:paraId="55BC11F2">
      <w:pPr>
        <w:spacing w:before="78" w:beforeLines="25" w:line="480" w:lineRule="exact"/>
        <w:jc w:val="center"/>
        <w:rPr>
          <w:rFonts w:ascii="Times New Roman" w:hAnsi="Times New Roman" w:eastAsia="黑体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表</w:t>
      </w:r>
      <w:r>
        <w:rPr>
          <w:rFonts w:hint="eastAsia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  <w:t xml:space="preserve">2  </w:t>
      </w:r>
      <w:r>
        <w:rPr>
          <w:rFonts w:ascii="Times New Roman" w:hAnsi="Times New Roman" w:eastAsia="黑体" w:cs="Times New Roman"/>
          <w:bCs/>
          <w:color w:val="auto"/>
          <w:sz w:val="28"/>
          <w:szCs w:val="28"/>
        </w:rPr>
        <w:t>乡镇基准地价表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702"/>
        <w:gridCol w:w="984"/>
        <w:gridCol w:w="864"/>
        <w:gridCol w:w="851"/>
        <w:gridCol w:w="850"/>
        <w:gridCol w:w="850"/>
        <w:gridCol w:w="850"/>
        <w:gridCol w:w="851"/>
        <w:gridCol w:w="851"/>
        <w:gridCol w:w="851"/>
      </w:tblGrid>
      <w:tr w14:paraId="7DC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tblHeader/>
          <w:jc w:val="center"/>
        </w:trPr>
        <w:tc>
          <w:tcPr>
            <w:tcW w:w="466" w:type="dxa"/>
            <w:vMerge w:val="restart"/>
            <w:shd w:val="clear" w:color="auto" w:fill="auto"/>
            <w:vAlign w:val="center"/>
          </w:tcPr>
          <w:p w14:paraId="0BC20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14:paraId="2CEB9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乡镇名称</w:t>
            </w:r>
          </w:p>
        </w:tc>
        <w:tc>
          <w:tcPr>
            <w:tcW w:w="984" w:type="dxa"/>
            <w:vMerge w:val="restart"/>
            <w:shd w:val="clear" w:color="auto" w:fill="auto"/>
            <w:vAlign w:val="center"/>
          </w:tcPr>
          <w:p w14:paraId="64028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土地级别</w:t>
            </w: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14:paraId="5092F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商业服务业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用地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14:paraId="309DB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城镇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住宅用地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EB92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工业用地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0FC11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公共管理与公共服务用地</w:t>
            </w:r>
          </w:p>
        </w:tc>
      </w:tr>
      <w:tr w14:paraId="707BA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466" w:type="dxa"/>
            <w:vMerge w:val="continue"/>
            <w:shd w:val="clear" w:color="auto" w:fill="auto"/>
            <w:vAlign w:val="center"/>
          </w:tcPr>
          <w:p w14:paraId="7A48F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vMerge w:val="continue"/>
            <w:shd w:val="clear" w:color="auto" w:fill="auto"/>
            <w:vAlign w:val="center"/>
          </w:tcPr>
          <w:p w14:paraId="5BFF9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vMerge w:val="continue"/>
            <w:shd w:val="clear" w:color="auto" w:fill="auto"/>
            <w:vAlign w:val="center"/>
          </w:tcPr>
          <w:p w14:paraId="7754A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064A9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元/m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708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万元/亩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B6B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元/m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69A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万元/亩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E56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元/m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FB0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万元/亩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973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元/m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69E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万元/亩</w:t>
            </w:r>
          </w:p>
        </w:tc>
      </w:tr>
      <w:tr w14:paraId="735D7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66" w:type="dxa"/>
            <w:vMerge w:val="restart"/>
            <w:shd w:val="clear" w:color="auto" w:fill="auto"/>
            <w:noWrap/>
            <w:vAlign w:val="center"/>
          </w:tcPr>
          <w:p w14:paraId="52FEC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702" w:type="dxa"/>
            <w:vMerge w:val="restart"/>
            <w:shd w:val="clear" w:color="auto" w:fill="auto"/>
            <w:noWrap/>
            <w:vAlign w:val="center"/>
          </w:tcPr>
          <w:p w14:paraId="146FA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汤口镇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1B5FD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一级地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47CD7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1754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CAE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41DB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62.67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F72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CAA7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1F6C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300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2A9B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20.00</w:t>
            </w:r>
          </w:p>
        </w:tc>
      </w:tr>
      <w:tr w14:paraId="11F97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66" w:type="dxa"/>
            <w:vMerge w:val="continue"/>
            <w:shd w:val="clear" w:color="auto" w:fill="auto"/>
            <w:vAlign w:val="center"/>
          </w:tcPr>
          <w:p w14:paraId="64170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vMerge w:val="continue"/>
            <w:shd w:val="clear" w:color="auto" w:fill="auto"/>
            <w:vAlign w:val="center"/>
          </w:tcPr>
          <w:p w14:paraId="633D3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3E0F8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二级地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745E9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B0AB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3A7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EBED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CFB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0E08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F97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300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17D6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20.00</w:t>
            </w:r>
          </w:p>
        </w:tc>
      </w:tr>
      <w:tr w14:paraId="2F1E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66" w:type="dxa"/>
            <w:vMerge w:val="restart"/>
            <w:shd w:val="clear" w:color="auto" w:fill="auto"/>
            <w:noWrap/>
            <w:vAlign w:val="center"/>
          </w:tcPr>
          <w:p w14:paraId="2AADF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702" w:type="dxa"/>
            <w:vMerge w:val="restart"/>
            <w:shd w:val="clear" w:color="auto" w:fill="auto"/>
            <w:noWrap/>
            <w:vAlign w:val="center"/>
          </w:tcPr>
          <w:p w14:paraId="6F373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谭家桥镇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33E2D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一级地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1FD98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86F6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58.67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61B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343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82D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8E99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4CAF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300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66F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20.00</w:t>
            </w:r>
          </w:p>
        </w:tc>
      </w:tr>
      <w:tr w14:paraId="5570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66" w:type="dxa"/>
            <w:vMerge w:val="continue"/>
            <w:shd w:val="clear" w:color="auto" w:fill="auto"/>
            <w:vAlign w:val="center"/>
          </w:tcPr>
          <w:p w14:paraId="4BFB2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vMerge w:val="continue"/>
            <w:shd w:val="clear" w:color="auto" w:fill="auto"/>
            <w:vAlign w:val="center"/>
          </w:tcPr>
          <w:p w14:paraId="7E30B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2EFF6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二级地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18520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ECC3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48.67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3E1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A03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61.33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70B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220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59CD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300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D0DC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20.00</w:t>
            </w:r>
          </w:p>
        </w:tc>
      </w:tr>
      <w:tr w14:paraId="484B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66" w:type="dxa"/>
            <w:vMerge w:val="continue"/>
            <w:shd w:val="clear" w:color="auto" w:fill="auto"/>
            <w:vAlign w:val="center"/>
          </w:tcPr>
          <w:p w14:paraId="62503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vMerge w:val="continue"/>
            <w:shd w:val="clear" w:color="auto" w:fill="auto"/>
            <w:vAlign w:val="center"/>
          </w:tcPr>
          <w:p w14:paraId="3A845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02672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三级地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49FF9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CC0D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CE6F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825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B59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5E52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21CA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300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C94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20.00</w:t>
            </w:r>
          </w:p>
        </w:tc>
      </w:tr>
      <w:tr w14:paraId="5E1F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66" w:type="dxa"/>
            <w:vMerge w:val="restart"/>
            <w:shd w:val="clear" w:color="auto" w:fill="auto"/>
            <w:noWrap/>
            <w:vAlign w:val="center"/>
          </w:tcPr>
          <w:p w14:paraId="155F0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702" w:type="dxa"/>
            <w:vMerge w:val="restart"/>
            <w:shd w:val="clear" w:color="auto" w:fill="auto"/>
            <w:noWrap/>
            <w:vAlign w:val="center"/>
          </w:tcPr>
          <w:p w14:paraId="78C31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耿城镇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70144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一级地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54D0D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C22D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395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F7C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3F44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E999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32F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300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C629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20.00</w:t>
            </w:r>
          </w:p>
        </w:tc>
      </w:tr>
      <w:tr w14:paraId="1F2B2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66" w:type="dxa"/>
            <w:vMerge w:val="continue"/>
            <w:shd w:val="clear" w:color="auto" w:fill="auto"/>
            <w:vAlign w:val="center"/>
          </w:tcPr>
          <w:p w14:paraId="019B3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vMerge w:val="continue"/>
            <w:shd w:val="clear" w:color="auto" w:fill="auto"/>
            <w:vAlign w:val="center"/>
          </w:tcPr>
          <w:p w14:paraId="3B2F6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25DF3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二级地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7F287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DE79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33.67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7E23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69F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41.67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ABC3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0D09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C5B2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300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F327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20.00</w:t>
            </w:r>
          </w:p>
        </w:tc>
      </w:tr>
      <w:tr w14:paraId="16FD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66" w:type="dxa"/>
            <w:vMerge w:val="continue"/>
            <w:shd w:val="clear" w:color="auto" w:fill="auto"/>
            <w:vAlign w:val="center"/>
          </w:tcPr>
          <w:p w14:paraId="3E6BB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vMerge w:val="continue"/>
            <w:shd w:val="clear" w:color="auto" w:fill="auto"/>
            <w:vAlign w:val="center"/>
          </w:tcPr>
          <w:p w14:paraId="4BA52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3B268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三级地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7A74B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2958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510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9A3D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7B7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DD6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B7F0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300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3A78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20.00</w:t>
            </w:r>
          </w:p>
        </w:tc>
      </w:tr>
      <w:tr w14:paraId="01D42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14:paraId="55039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14:paraId="05E68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太平湖镇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77DF8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一级地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56405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C9C8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39.67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B50D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87E9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C976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7C61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49BC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300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353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20.00</w:t>
            </w:r>
          </w:p>
        </w:tc>
      </w:tr>
      <w:tr w14:paraId="66CC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66" w:type="dxa"/>
            <w:vMerge w:val="restart"/>
            <w:shd w:val="clear" w:color="auto" w:fill="auto"/>
            <w:noWrap/>
            <w:vAlign w:val="center"/>
          </w:tcPr>
          <w:p w14:paraId="43BD8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702" w:type="dxa"/>
            <w:vMerge w:val="restart"/>
            <w:shd w:val="clear" w:color="auto" w:fill="auto"/>
            <w:noWrap/>
            <w:vAlign w:val="center"/>
          </w:tcPr>
          <w:p w14:paraId="59A4C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焦村镇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222BB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一级地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015D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EDD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29.67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2A11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27D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615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5C47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C9A8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270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E4DB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18.00</w:t>
            </w:r>
          </w:p>
        </w:tc>
      </w:tr>
      <w:tr w14:paraId="7368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66" w:type="dxa"/>
            <w:vMerge w:val="continue"/>
            <w:shd w:val="clear" w:color="auto" w:fill="auto"/>
            <w:vAlign w:val="center"/>
          </w:tcPr>
          <w:p w14:paraId="57B76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vMerge w:val="continue"/>
            <w:shd w:val="clear" w:color="auto" w:fill="auto"/>
            <w:vAlign w:val="center"/>
          </w:tcPr>
          <w:p w14:paraId="30F8E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591B5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二级地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08F34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757B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B8C2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F9E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302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9BD7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CA6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270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5E52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18.00</w:t>
            </w:r>
          </w:p>
        </w:tc>
      </w:tr>
      <w:tr w14:paraId="4C240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66" w:type="dxa"/>
            <w:vMerge w:val="restart"/>
            <w:shd w:val="clear" w:color="auto" w:fill="auto"/>
            <w:noWrap/>
            <w:vAlign w:val="center"/>
          </w:tcPr>
          <w:p w14:paraId="0DEBF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702" w:type="dxa"/>
            <w:vMerge w:val="restart"/>
            <w:shd w:val="clear" w:color="auto" w:fill="auto"/>
            <w:noWrap/>
            <w:vAlign w:val="center"/>
          </w:tcPr>
          <w:p w14:paraId="31BC9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仙源镇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2BD1F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一级地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3223B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031D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E87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BA8C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30.33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4A6C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CA57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3A82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270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459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18.00</w:t>
            </w:r>
          </w:p>
        </w:tc>
      </w:tr>
      <w:tr w14:paraId="41F9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66" w:type="dxa"/>
            <w:vMerge w:val="continue"/>
            <w:shd w:val="clear" w:color="auto" w:fill="auto"/>
            <w:vAlign w:val="center"/>
          </w:tcPr>
          <w:p w14:paraId="1C267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vMerge w:val="continue"/>
            <w:shd w:val="clear" w:color="auto" w:fill="auto"/>
            <w:vAlign w:val="center"/>
          </w:tcPr>
          <w:p w14:paraId="0A21D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4EE79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二级地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25240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2EA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0EB7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6DC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2CDE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CF7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5F33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270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E691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18.00</w:t>
            </w:r>
          </w:p>
        </w:tc>
      </w:tr>
      <w:tr w14:paraId="29E3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14:paraId="0FBE6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14:paraId="163B0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三口镇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70F87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一级地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07872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65D5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F5A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C2C7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25.67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1D05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BC7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742C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270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84AD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18.00</w:t>
            </w:r>
          </w:p>
        </w:tc>
      </w:tr>
      <w:tr w14:paraId="235B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14:paraId="09DE9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14:paraId="3BEBF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乌石镇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660A4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一级地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33346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CA6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199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78A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23.33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E2D3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7F3B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D02D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270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21A3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18.00</w:t>
            </w:r>
          </w:p>
        </w:tc>
      </w:tr>
      <w:tr w14:paraId="07AD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14:paraId="7EA1C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14:paraId="1E645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新华乡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096EB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一级地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788FA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9479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9C75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71D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23.33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E49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D179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C096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270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AFD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18.00</w:t>
            </w:r>
          </w:p>
        </w:tc>
      </w:tr>
      <w:tr w14:paraId="544B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14:paraId="1ACFF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14:paraId="3747E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新明乡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5D928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一级地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5A079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0544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22.67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5A8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1CD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20.33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BC9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E3C0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975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270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C409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18.00</w:t>
            </w:r>
          </w:p>
        </w:tc>
      </w:tr>
      <w:tr w14:paraId="76870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14:paraId="79013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14:paraId="3EC6A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龙门乡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65CE3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一级地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3421F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465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22.67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7A4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1267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20.33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EFC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8BED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D2B4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270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0BFB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18.00</w:t>
            </w:r>
          </w:p>
        </w:tc>
      </w:tr>
      <w:tr w14:paraId="3FED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14:paraId="3524E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14:paraId="64EF0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新丰乡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42358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一级地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1AD26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844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21.33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B28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D327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38E3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AC4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5B1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270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3521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18.00</w:t>
            </w:r>
          </w:p>
        </w:tc>
      </w:tr>
      <w:tr w14:paraId="66BA4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14:paraId="204B1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14:paraId="7CBAC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永丰乡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14:paraId="24A4F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一级地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14:paraId="685B4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05AF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21.33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DB17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C6AB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5A03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EB8F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86DB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270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42BF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18.00</w:t>
            </w:r>
          </w:p>
        </w:tc>
      </w:tr>
    </w:tbl>
    <w:p w14:paraId="6886006D">
      <w:pPr>
        <w:widowControl/>
        <w:spacing w:line="360" w:lineRule="exact"/>
        <w:jc w:val="left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kern w:val="0"/>
          <w:sz w:val="24"/>
          <w:szCs w:val="24"/>
        </w:rPr>
        <w:t>注：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1.</w:t>
      </w:r>
      <w:r>
        <w:rPr>
          <w:rFonts w:ascii="Times New Roman" w:hAnsi="Times New Roman" w:eastAsia="仿宋_GB2312" w:cs="Times New Roman"/>
          <w:color w:val="auto"/>
          <w:kern w:val="0"/>
          <w:sz w:val="24"/>
          <w:szCs w:val="24"/>
        </w:rPr>
        <w:t>各乡镇土地定级范围以外的区域，参照乡镇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各类型用地</w:t>
      </w:r>
      <w:r>
        <w:rPr>
          <w:rFonts w:ascii="Times New Roman" w:hAnsi="Times New Roman" w:eastAsia="仿宋_GB2312" w:cs="Times New Roman"/>
          <w:color w:val="auto"/>
          <w:kern w:val="0"/>
          <w:sz w:val="24"/>
          <w:szCs w:val="24"/>
        </w:rPr>
        <w:t>末级地进行评估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2.旅馆用地基准地价中，汤口镇参照城区一级地价格，谭家桥镇参照谭家桥商服用地末级地价格，太平湖镇、耿城镇参照城区三级地价格，其余乡镇参照黄山区城区末级地价格。</w:t>
      </w:r>
    </w:p>
    <w:p w14:paraId="5719B3B6">
      <w:pPr>
        <w:rPr>
          <w:color w:val="auto"/>
        </w:rPr>
      </w:pPr>
      <w:bookmarkStart w:id="2" w:name="_GoBack"/>
      <w:bookmarkEnd w:id="2"/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42F89"/>
    <w:rsid w:val="25907C27"/>
    <w:rsid w:val="286C72C9"/>
    <w:rsid w:val="2AA91577"/>
    <w:rsid w:val="2B8818EC"/>
    <w:rsid w:val="3D1233C0"/>
    <w:rsid w:val="49115E27"/>
    <w:rsid w:val="58F0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宋体" w:eastAsia="方正小标宋简体" w:cs="仿宋_GB2312"/>
      <w:color w:val="000000"/>
      <w:kern w:val="2"/>
      <w:sz w:val="44"/>
      <w:szCs w:val="4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1227</Words>
  <Characters>1633</Characters>
  <Lines>0</Lines>
  <Paragraphs>0</Paragraphs>
  <TotalTime>0</TotalTime>
  <ScaleCrop>false</ScaleCrop>
  <LinksUpToDate>false</LinksUpToDate>
  <CharactersWithSpaces>1637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2026-01-05T01:06:00Z</dcterms:created>
  <dc:creator>96109</dc:creator>
  <cp:lastModifiedBy>15357700754</cp:lastModifiedBy>
  <dcterms:modified xsi:type="dcterms:W3CDTF">2026-01-13T11:32:59Z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eyJoZGlkIjoiMDhhNGUyZDQzMjJlNGY5MDhkNjA4ZjBjMDg1NThlZTgiLCJ1c2VySWQiOiIxMDQzNzk5MzgyIn0=</vt:lpwstr>
  </property>
  <property fmtid="{D5CDD505-2E9C-101B-9397-08002B2CF9AE}" pid="4" name="ICV">
    <vt:lpwstr>AB1EC70C6D6C4A70B11E257FCD3A812F_12</vt:lpwstr>
  </property>
</Properties>
</file>