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E7AB">
      <w:pPr>
        <w:keepNext w:val="0"/>
        <w:keepLines w:val="0"/>
        <w:pageBreakBefore w:val="0"/>
        <w:widowControl w:val="0"/>
        <w:kinsoku/>
        <w:wordWrap/>
        <w:overflowPunct/>
        <w:topLinePunct w:val="0"/>
        <w:autoSpaceDE/>
        <w:autoSpaceDN/>
        <w:bidi w:val="0"/>
        <w:adjustRightInd/>
        <w:snapToGrid w:val="0"/>
        <w:spacing w:line="590" w:lineRule="exact"/>
        <w:jc w:val="both"/>
        <w:textAlignment w:val="auto"/>
        <w:outlineLvl w:val="9"/>
        <w:rPr>
          <w:rFonts w:hint="eastAsia" w:ascii="Times New Roman" w:hAnsi="Times New Roman" w:eastAsia="方正小标宋_GBK" w:cs="Times New Roman"/>
          <w:sz w:val="44"/>
          <w:szCs w:val="44"/>
          <w:lang w:val="en-US" w:eastAsia="zh-CN"/>
        </w:rPr>
      </w:pPr>
    </w:p>
    <w:p w14:paraId="7CEC4B4F">
      <w:pPr>
        <w:keepNext w:val="0"/>
        <w:keepLines w:val="0"/>
        <w:pageBreakBefore w:val="0"/>
        <w:widowControl w:val="0"/>
        <w:kinsoku/>
        <w:wordWrap/>
        <w:overflowPunct/>
        <w:topLinePunct w:val="0"/>
        <w:autoSpaceDE/>
        <w:autoSpaceDN/>
        <w:bidi w:val="0"/>
        <w:adjustRightInd/>
        <w:snapToGrid w:val="0"/>
        <w:spacing w:line="590" w:lineRule="exact"/>
        <w:jc w:val="both"/>
        <w:textAlignment w:val="auto"/>
        <w:outlineLvl w:val="9"/>
        <w:rPr>
          <w:rFonts w:hint="eastAsia" w:ascii="Times New Roman" w:hAnsi="Times New Roman" w:eastAsia="方正小标宋_GBK" w:cs="Times New Roman"/>
          <w:sz w:val="44"/>
          <w:szCs w:val="44"/>
          <w:lang w:val="en-US" w:eastAsia="zh-CN"/>
        </w:rPr>
      </w:pPr>
    </w:p>
    <w:p w14:paraId="605EB32D">
      <w:pPr>
        <w:keepNext w:val="0"/>
        <w:keepLines w:val="0"/>
        <w:pageBreakBefore w:val="0"/>
        <w:widowControl w:val="0"/>
        <w:kinsoku/>
        <w:wordWrap/>
        <w:overflowPunct/>
        <w:topLinePunct w:val="0"/>
        <w:autoSpaceDE/>
        <w:autoSpaceDN/>
        <w:bidi w:val="0"/>
        <w:adjustRightInd/>
        <w:snapToGrid w:val="0"/>
        <w:spacing w:line="590" w:lineRule="exact"/>
        <w:jc w:val="both"/>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安徽省医疗保障局关于印发《安徽省医药集中</w:t>
      </w:r>
    </w:p>
    <w:p w14:paraId="7C506DEB">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采购平台药品挂网采购规则》的通知</w:t>
      </w:r>
    </w:p>
    <w:p w14:paraId="38C75E11">
      <w:pPr>
        <w:jc w:val="center"/>
        <w:rPr>
          <w:rFonts w:hint="default" w:ascii="Times New Roman" w:hAnsi="Times New Roman" w:eastAsia="方正仿宋_GBK" w:cs="Times New Roman"/>
          <w:color w:val="AF0F5B"/>
          <w:lang w:val="en-US" w:eastAsia="zh-CN"/>
        </w:rPr>
      </w:pPr>
      <w:bookmarkStart w:id="3" w:name="_GoBack"/>
      <w:bookmarkStart w:id="0" w:name="OLE_LINK1"/>
      <w:r>
        <w:rPr>
          <w:rFonts w:hint="default" w:ascii="Times New Roman" w:hAnsi="Times New Roman" w:eastAsia="方正仿宋_GBK" w:cs="Times New Roman"/>
          <w:color w:val="auto"/>
          <w:lang w:val="en-US" w:eastAsia="zh-CN"/>
        </w:rPr>
        <w:t>皖医保</w:t>
      </w:r>
      <w:r>
        <w:rPr>
          <w:rFonts w:hint="eastAsia" w:cs="Times New Roman"/>
          <w:color w:val="auto"/>
          <w:lang w:val="en-US" w:eastAsia="zh-CN"/>
        </w:rPr>
        <w:t>发</w:t>
      </w:r>
      <w:r>
        <w:rPr>
          <w:rFonts w:hint="default" w:ascii="Times New Roman" w:hAnsi="Times New Roman" w:eastAsia="方正仿宋_GBK" w:cs="Times New Roman"/>
          <w:color w:val="auto"/>
          <w:sz w:val="32"/>
          <w:szCs w:val="32"/>
          <w:lang w:val="en-US" w:eastAsia="zh-CN"/>
        </w:rPr>
        <w:t>〔2025〕</w:t>
      </w:r>
      <w:r>
        <w:rPr>
          <w:rFonts w:hint="eastAsia" w:cs="Times New Roman"/>
          <w:color w:val="000000"/>
          <w:sz w:val="32"/>
          <w:szCs w:val="32"/>
          <w:lang w:val="en-US" w:eastAsia="zh-CN"/>
        </w:rPr>
        <w:t>10</w:t>
      </w:r>
      <w:r>
        <w:rPr>
          <w:rFonts w:hint="default" w:ascii="Times New Roman" w:hAnsi="Times New Roman" w:eastAsia="方正仿宋_GBK" w:cs="Times New Roman"/>
          <w:color w:val="000000"/>
          <w:sz w:val="32"/>
          <w:szCs w:val="32"/>
          <w:lang w:val="en-US" w:eastAsia="zh-CN"/>
        </w:rPr>
        <w:t>号</w:t>
      </w:r>
      <w:bookmarkEnd w:id="0"/>
    </w:p>
    <w:bookmarkEnd w:id="3"/>
    <w:p w14:paraId="3B347A43">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jc w:val="both"/>
        <w:rPr>
          <w:rFonts w:hint="eastAsia" w:ascii="宋体" w:hAnsi="宋体" w:eastAsia="宋体" w:cs="宋体"/>
          <w:kern w:val="2"/>
          <w:sz w:val="21"/>
          <w:szCs w:val="21"/>
        </w:rPr>
      </w:pPr>
    </w:p>
    <w:p w14:paraId="4E80B9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0" w:firstLineChars="0"/>
        <w:jc w:val="both"/>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lang w:val="en-US" w:eastAsia="zh-CN" w:bidi="ar"/>
        </w:rPr>
        <w:t>各市医疗保障局，有关医疗机构、生产企业：</w:t>
      </w:r>
    </w:p>
    <w:p w14:paraId="1B33DD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64" w:firstLineChars="200"/>
        <w:jc w:val="both"/>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lang w:val="en-US" w:eastAsia="zh-CN" w:bidi="ar"/>
        </w:rPr>
        <w:t>现将《安徽省医药集中采购平台药品挂网采购规则》印发给你们，请认真贯彻执行。</w:t>
      </w:r>
    </w:p>
    <w:p w14:paraId="766E25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14:paraId="617C78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14:paraId="159D3D24">
      <w:pPr>
        <w:keepNext w:val="0"/>
        <w:keepLines w:val="0"/>
        <w:pageBreakBefore w:val="0"/>
        <w:widowControl w:val="0"/>
        <w:kinsoku/>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仿宋_GB2312" w:cs="Times New Roman"/>
          <w:sz w:val="32"/>
          <w:szCs w:val="32"/>
        </w:rPr>
      </w:pPr>
    </w:p>
    <w:p w14:paraId="2644DA8B">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安徽省医疗保障局</w:t>
      </w:r>
      <w:r>
        <w:rPr>
          <w:rFonts w:hint="default" w:ascii="Times New Roman" w:hAnsi="Times New Roman" w:eastAsia="仿宋_GB2312" w:cs="Times New Roman"/>
          <w:sz w:val="34"/>
          <w:szCs w:val="34"/>
        </w:rPr>
        <w:t>　</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29"/>
          <w:szCs w:val="29"/>
        </w:rPr>
        <w:t>　</w:t>
      </w:r>
    </w:p>
    <w:p w14:paraId="37B2171B">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w:t>
      </w:r>
      <w:r>
        <w:rPr>
          <w:rFonts w:hint="eastAsia" w:eastAsia="仿宋_GB2312" w:cs="Times New Roman"/>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eastAsia="仿宋_GB2312" w:cs="Times New Roman"/>
          <w:sz w:val="32"/>
          <w:szCs w:val="32"/>
          <w:lang w:val="en-US" w:eastAsia="zh-CN"/>
        </w:rPr>
        <w:t>7</w:t>
      </w:r>
      <w:r>
        <w:rPr>
          <w:rFonts w:hint="eastAsia" w:ascii="方正仿宋_GBK" w:hAnsi="方正仿宋_GBK" w:eastAsia="方正仿宋_GBK" w:cs="方正仿宋_GBK"/>
          <w:sz w:val="32"/>
          <w:szCs w:val="32"/>
          <w:lang w:eastAsia="zh-CN"/>
        </w:rPr>
        <w:t>月</w:t>
      </w:r>
      <w:r>
        <w:rPr>
          <w:rFonts w:hint="eastAsia" w:eastAsia="仿宋_GB2312" w:cs="Times New Roman"/>
          <w:sz w:val="32"/>
          <w:szCs w:val="32"/>
          <w:lang w:val="en-US" w:eastAsia="zh-CN"/>
        </w:rPr>
        <w:t>10</w:t>
      </w:r>
      <w:r>
        <w:rPr>
          <w:rFonts w:hint="default" w:ascii="方正仿宋_GBK" w:hAnsi="方正仿宋_GBK" w:eastAsia="方正仿宋_GBK" w:cs="方正仿宋_GBK"/>
          <w:sz w:val="32"/>
          <w:szCs w:val="32"/>
        </w:rPr>
        <w:t>日</w:t>
      </w:r>
      <w:r>
        <w:rPr>
          <w:rFonts w:hint="default" w:ascii="Times New Roman" w:hAnsi="Times New Roman" w:eastAsia="仿宋_GB2312" w:cs="Times New Roman"/>
          <w:sz w:val="32"/>
          <w:szCs w:val="32"/>
        </w:rPr>
        <w:t>　　　　</w:t>
      </w:r>
    </w:p>
    <w:p w14:paraId="02BB0F6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（此件公开发布）</w:t>
      </w:r>
    </w:p>
    <w:p w14:paraId="4A999E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31E01CA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5E6D132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2254385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33B6DF5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619F661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仿宋_GB2312" w:cs="Times New Roman"/>
          <w:sz w:val="32"/>
          <w:szCs w:val="32"/>
        </w:rPr>
      </w:pPr>
    </w:p>
    <w:p w14:paraId="79CFDE90">
      <w:pPr>
        <w:keepNext w:val="0"/>
        <w:keepLines w:val="0"/>
        <w:pageBreakBefore w:val="0"/>
        <w:widowControl w:val="0"/>
        <w:kinsoku/>
        <w:wordWrap/>
        <w:overflowPunct/>
        <w:topLinePunct w:val="0"/>
        <w:autoSpaceDE/>
        <w:autoSpaceDN/>
        <w:bidi w:val="0"/>
        <w:adjustRightInd/>
        <w:snapToGrid w:val="0"/>
        <w:spacing w:line="590" w:lineRule="exact"/>
        <w:jc w:val="both"/>
        <w:textAlignment w:val="auto"/>
        <w:outlineLvl w:val="9"/>
        <w:rPr>
          <w:rFonts w:hint="eastAsia" w:ascii="Times New Roman" w:hAnsi="Times New Roman" w:eastAsia="方正小标宋_GBK" w:cs="Times New Roman"/>
          <w:sz w:val="44"/>
          <w:szCs w:val="44"/>
          <w:lang w:val="en-US" w:eastAsia="zh-CN"/>
        </w:rPr>
      </w:pPr>
    </w:p>
    <w:p w14:paraId="038BE896">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安徽省医药集中采购平台药品</w:t>
      </w:r>
    </w:p>
    <w:p w14:paraId="48C01B13">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挂网采购规则</w:t>
      </w:r>
    </w:p>
    <w:p w14:paraId="4235D8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小标宋_GBK" w:hAnsi="方正小标宋_GBK" w:eastAsia="方正小标宋_GBK" w:cs="方正小标宋_GBK"/>
          <w:kern w:val="2"/>
          <w:sz w:val="32"/>
          <w:szCs w:val="32"/>
        </w:rPr>
      </w:pPr>
    </w:p>
    <w:p w14:paraId="75600B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64" w:firstLineChars="200"/>
        <w:jc w:val="both"/>
        <w:textAlignment w:val="auto"/>
        <w:rPr>
          <w:rFonts w:hint="default" w:ascii="Times New Roman" w:hAnsi="Times New Roman" w:eastAsia="方正仿宋_GBK" w:cs="Times New Roman"/>
          <w:strike/>
          <w:dstrike w:val="0"/>
          <w:kern w:val="2"/>
          <w:sz w:val="32"/>
          <w:szCs w:val="32"/>
        </w:rPr>
      </w:pPr>
      <w:r>
        <w:rPr>
          <w:rFonts w:hint="eastAsia" w:ascii="方正仿宋_GBK" w:hAnsi="方正仿宋_GBK" w:eastAsia="方正仿宋_GBK" w:cs="方正仿宋_GBK"/>
          <w:spacing w:val="6"/>
          <w:kern w:val="2"/>
          <w:sz w:val="32"/>
          <w:szCs w:val="32"/>
          <w:lang w:val="en-US" w:eastAsia="zh-CN" w:bidi="ar"/>
        </w:rPr>
        <w:t>为贯彻落实</w:t>
      </w:r>
      <w:r>
        <w:rPr>
          <w:rFonts w:hint="eastAsia" w:ascii="方正仿宋_GBK" w:hAnsi="方正仿宋_GBK" w:eastAsia="方正仿宋_GBK" w:cs="方正仿宋_GBK"/>
          <w:spacing w:val="0"/>
          <w:kern w:val="2"/>
          <w:sz w:val="32"/>
          <w:szCs w:val="32"/>
          <w:lang w:val="en-US" w:eastAsia="zh-CN" w:bidi="ar"/>
        </w:rPr>
        <w:t>《中共中央</w:t>
      </w:r>
      <w:r>
        <w:rPr>
          <w:rFonts w:hint="default" w:ascii="Times New Roman" w:hAnsi="Times New Roman" w:eastAsia="方正仿宋_GBK" w:cs="Times New Roman"/>
          <w:spacing w:val="0"/>
          <w:kern w:val="2"/>
          <w:sz w:val="32"/>
          <w:szCs w:val="32"/>
          <w:lang w:val="en-US" w:eastAsia="zh-CN" w:bidi="ar"/>
        </w:rPr>
        <w:t xml:space="preserve"> </w:t>
      </w:r>
      <w:r>
        <w:rPr>
          <w:rFonts w:hint="eastAsia" w:ascii="方正仿宋_GBK" w:hAnsi="方正仿宋_GBK" w:eastAsia="方正仿宋_GBK" w:cs="方正仿宋_GBK"/>
          <w:spacing w:val="0"/>
          <w:kern w:val="2"/>
          <w:sz w:val="32"/>
          <w:szCs w:val="32"/>
          <w:lang w:val="en-US" w:eastAsia="zh-CN" w:bidi="ar"/>
        </w:rPr>
        <w:t>国务院关于深化医疗保障制度改革的意见》（中发〔</w:t>
      </w:r>
      <w:r>
        <w:rPr>
          <w:rFonts w:hint="default" w:ascii="Times New Roman" w:hAnsi="Times New Roman" w:eastAsia="方正仿宋_GBK" w:cs="Times New Roman"/>
          <w:spacing w:val="0"/>
          <w:kern w:val="2"/>
          <w:sz w:val="32"/>
          <w:szCs w:val="32"/>
          <w:lang w:val="en-US" w:eastAsia="zh-CN" w:bidi="ar"/>
        </w:rPr>
        <w:t>2020</w:t>
      </w:r>
      <w:r>
        <w:rPr>
          <w:rFonts w:hint="eastAsia" w:ascii="方正仿宋_GBK" w:hAnsi="方正仿宋_GBK" w:eastAsia="方正仿宋_GBK" w:cs="方正仿宋_GBK"/>
          <w:spacing w:val="0"/>
          <w:kern w:val="2"/>
          <w:sz w:val="32"/>
          <w:szCs w:val="32"/>
          <w:lang w:val="en-US" w:eastAsia="zh-CN" w:bidi="ar"/>
        </w:rPr>
        <w:t>〕</w:t>
      </w:r>
      <w:r>
        <w:rPr>
          <w:rFonts w:hint="default" w:ascii="Times New Roman" w:hAnsi="Times New Roman" w:eastAsia="方正仿宋_GBK" w:cs="Times New Roman"/>
          <w:spacing w:val="0"/>
          <w:kern w:val="2"/>
          <w:sz w:val="32"/>
          <w:szCs w:val="32"/>
          <w:lang w:val="en-US" w:eastAsia="zh-CN" w:bidi="ar"/>
        </w:rPr>
        <w:t>5</w:t>
      </w:r>
      <w:r>
        <w:rPr>
          <w:rFonts w:hint="eastAsia" w:ascii="方正仿宋_GBK" w:hAnsi="方正仿宋_GBK" w:eastAsia="方正仿宋_GBK" w:cs="方正仿宋_GBK"/>
          <w:spacing w:val="0"/>
          <w:kern w:val="2"/>
          <w:sz w:val="32"/>
          <w:szCs w:val="32"/>
          <w:lang w:val="en-US" w:eastAsia="zh-CN" w:bidi="ar"/>
        </w:rPr>
        <w:t>号）、《国务院办公厅关于推动药品集中带量采购工作常态化制度化开展的意见》（国办发〔</w:t>
      </w:r>
      <w:r>
        <w:rPr>
          <w:rFonts w:hint="default" w:ascii="Times New Roman" w:hAnsi="Times New Roman" w:eastAsia="方正仿宋_GBK" w:cs="Times New Roman"/>
          <w:spacing w:val="0"/>
          <w:kern w:val="2"/>
          <w:sz w:val="32"/>
          <w:szCs w:val="32"/>
          <w:lang w:val="en-US" w:eastAsia="zh-CN" w:bidi="ar"/>
        </w:rPr>
        <w:t>2021</w:t>
      </w:r>
      <w:r>
        <w:rPr>
          <w:rFonts w:hint="eastAsia" w:ascii="方正仿宋_GBK" w:hAnsi="方正仿宋_GBK" w:eastAsia="方正仿宋_GBK" w:cs="方正仿宋_GBK"/>
          <w:spacing w:val="0"/>
          <w:kern w:val="2"/>
          <w:sz w:val="32"/>
          <w:szCs w:val="32"/>
          <w:lang w:val="en-US" w:eastAsia="zh-CN" w:bidi="ar"/>
        </w:rPr>
        <w:t>〕</w:t>
      </w:r>
      <w:r>
        <w:rPr>
          <w:rFonts w:hint="default" w:ascii="Times New Roman" w:hAnsi="Times New Roman" w:eastAsia="方正仿宋_GBK" w:cs="Times New Roman"/>
          <w:spacing w:val="0"/>
          <w:kern w:val="2"/>
          <w:sz w:val="32"/>
          <w:szCs w:val="32"/>
          <w:lang w:val="en-US" w:eastAsia="zh-CN" w:bidi="ar"/>
        </w:rPr>
        <w:t>2</w:t>
      </w:r>
      <w:r>
        <w:rPr>
          <w:rFonts w:hint="eastAsia" w:ascii="方正仿宋_GBK" w:hAnsi="方正仿宋_GBK" w:eastAsia="方正仿宋_GBK" w:cs="方正仿宋_GBK"/>
          <w:spacing w:val="0"/>
          <w:kern w:val="2"/>
          <w:sz w:val="32"/>
          <w:szCs w:val="32"/>
          <w:lang w:val="en-US" w:eastAsia="zh-CN" w:bidi="ar"/>
        </w:rPr>
        <w:t>号）、《省级医药采购平台药品挂网规则共识》等文件精神，进一步规范药品挂网采购行为，保障</w:t>
      </w:r>
      <w:r>
        <w:rPr>
          <w:rFonts w:hint="eastAsia" w:ascii="方正仿宋_GBK" w:hAnsi="方正仿宋_GBK" w:eastAsia="方正仿宋_GBK" w:cs="方正仿宋_GBK"/>
          <w:spacing w:val="6"/>
          <w:kern w:val="2"/>
          <w:sz w:val="32"/>
          <w:szCs w:val="32"/>
          <w:lang w:val="en-US" w:eastAsia="zh-CN" w:bidi="ar"/>
        </w:rPr>
        <w:t>临床用药需求，减轻群众用药负担，结合工作实际制定本规则。</w:t>
      </w:r>
    </w:p>
    <w:p w14:paraId="18D19D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一、明确挂网采购范围</w:t>
      </w:r>
    </w:p>
    <w:p w14:paraId="0A161D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（一）挂网药品。</w:t>
      </w:r>
      <w:r>
        <w:rPr>
          <w:rFonts w:hint="eastAsia" w:ascii="方正仿宋_GBK" w:hAnsi="方正仿宋_GBK" w:eastAsia="方正仿宋_GBK" w:cs="方正仿宋_GBK"/>
          <w:kern w:val="2"/>
          <w:sz w:val="32"/>
          <w:szCs w:val="32"/>
          <w:lang w:val="en-US" w:eastAsia="zh-CN" w:bidi="ar"/>
        </w:rPr>
        <w:t>经国家药品监督管理部门批准注册，取得国家医保药品编码，在我国境内上市销售的所有药品，均可按规定在安徽省医药集中采购平台（以下简称“平台”）申请挂网。</w:t>
      </w:r>
    </w:p>
    <w:p w14:paraId="3A7631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（二）医药机构。</w:t>
      </w:r>
      <w:r>
        <w:rPr>
          <w:rFonts w:hint="eastAsia" w:ascii="方正仿宋_GBK" w:hAnsi="方正仿宋_GBK" w:eastAsia="方正仿宋_GBK" w:cs="方正仿宋_GBK"/>
          <w:kern w:val="2"/>
          <w:sz w:val="32"/>
          <w:szCs w:val="32"/>
          <w:lang w:val="en-US" w:eastAsia="zh-CN" w:bidi="ar"/>
        </w:rPr>
        <w:t>全省公立医疗机构（含驻皖军队医疗机构，下同）均需通过平台进行采购。鼓励取得国家医保编码的医保定点社会办医疗机构和药店参与网采。</w:t>
      </w:r>
    </w:p>
    <w:p w14:paraId="10CDD2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kern w:val="2"/>
          <w:sz w:val="32"/>
          <w:szCs w:val="32"/>
        </w:rPr>
      </w:pPr>
      <w:r>
        <w:rPr>
          <w:rFonts w:hint="eastAsia" w:ascii="方正楷体_GBK" w:hAnsi="方正楷体_GBK" w:eastAsia="方正楷体_GBK" w:cs="方正楷体_GBK"/>
          <w:b w:val="0"/>
          <w:bCs w:val="0"/>
          <w:kern w:val="2"/>
          <w:sz w:val="32"/>
          <w:szCs w:val="32"/>
          <w:lang w:val="en-US" w:eastAsia="zh-CN" w:bidi="ar"/>
        </w:rPr>
        <w:t>（三）申报企业。</w:t>
      </w:r>
      <w:r>
        <w:rPr>
          <w:rFonts w:hint="eastAsia" w:ascii="方正仿宋_GBK" w:hAnsi="方正仿宋_GBK" w:eastAsia="方正仿宋_GBK" w:cs="方正仿宋_GBK"/>
          <w:kern w:val="2"/>
          <w:sz w:val="32"/>
          <w:szCs w:val="32"/>
          <w:lang w:val="en-US" w:eastAsia="zh-CN" w:bidi="ar"/>
        </w:rPr>
        <w:t>药品挂网申报主体为药品上市许可持有人，其中外资企业可由上市许可持有人正式授权的境内总代理代为办理（以书面授权证明为准，以下统称“企业”）。</w:t>
      </w:r>
    </w:p>
    <w:p w14:paraId="6EB3C57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（四）信息材料。</w:t>
      </w:r>
      <w:r>
        <w:rPr>
          <w:rFonts w:hint="eastAsia" w:ascii="方正仿宋_GBK" w:hAnsi="方正仿宋_GBK" w:eastAsia="方正仿宋_GBK" w:cs="方正仿宋_GBK"/>
          <w:kern w:val="2"/>
          <w:sz w:val="32"/>
          <w:szCs w:val="32"/>
          <w:lang w:val="en-US" w:eastAsia="zh-CN" w:bidi="ar"/>
        </w:rPr>
        <w:t>按照“挂网挂价”的要求，企业申报药品挂网需按照要求提供相关产品资料并如实披露必要的价格信息。药品价格主要由企业综合临床价值、市场供求、竞争格局等因素自主合理确定。同时，需提供医药企业价格和营销行为信用承诺书以及对申报药品价格涉嫌重大失信情节时查询其增值税发票信息授权书。企业应主动承诺落实“带码挂网”，提供药品追溯码信息并配合做好追溯码扫描工作。平台产品信息和挂网价格完整，但企业“线上价格不供、线下涨价供应”的，属于失信行为，按规定严肃处置。</w:t>
      </w:r>
    </w:p>
    <w:p w14:paraId="355951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二、实行药品分类挂网</w:t>
      </w:r>
    </w:p>
    <w:p w14:paraId="02874F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（一）医保目录谈判和竞价药品。</w:t>
      </w:r>
      <w:r>
        <w:rPr>
          <w:rFonts w:hint="eastAsia" w:ascii="方正仿宋_GBK" w:hAnsi="方正仿宋_GBK" w:eastAsia="方正仿宋_GBK" w:cs="方正仿宋_GBK"/>
          <w:kern w:val="2"/>
          <w:sz w:val="32"/>
          <w:szCs w:val="32"/>
          <w:lang w:val="en-US" w:eastAsia="zh-CN" w:bidi="ar"/>
        </w:rPr>
        <w:t>协议期内的谈判药品挂网价格不得高于国家医保药品目录确定的支付标准。通过竞价纳入国家医保目录的药品，参与现场竞价的企业在支付标准有效期内，申报挂网价格不得高于现场报价。协议期内，若谈判药品或竞价药品新增医保目录未载明的规格，须企业向国家医保局提出申请，并由双方根据协议条款明确新增规格医保支付标准并按不高于支付标准的价格挂网。平台对谈判药品按“国谈”“国谈同通用名”予以标识。协议期内，若有与谈判药品同通用名的药品上市，其挂网价格按相关规定执行。转入医保目录常规乙类后，原则上不得上调挂网价格。</w:t>
      </w:r>
    </w:p>
    <w:p w14:paraId="14C8D3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（二）集中带量采购药品。</w:t>
      </w:r>
      <w:r>
        <w:rPr>
          <w:rFonts w:hint="eastAsia" w:ascii="方正仿宋_GBK" w:hAnsi="方正仿宋_GBK" w:eastAsia="方正仿宋_GBK" w:cs="方正仿宋_GBK"/>
          <w:kern w:val="2"/>
          <w:sz w:val="32"/>
          <w:szCs w:val="32"/>
          <w:lang w:val="en-US" w:eastAsia="zh-CN" w:bidi="ar"/>
        </w:rPr>
        <w:t>集采药品（含：国家集采、联盟集采、省级集采）按中选价直接挂网采购。其中：国家集采、联盟集采我省为供应地区（含主供和备供，下同）按中选价直接挂网；我省为非供应地区，按不高于中选价格的</w:t>
      </w:r>
      <w:r>
        <w:rPr>
          <w:rFonts w:hint="default" w:ascii="Times New Roman" w:hAnsi="Times New Roman" w:eastAsia="方正仿宋_GBK" w:cs="Times New Roman"/>
          <w:kern w:val="2"/>
          <w:sz w:val="32"/>
          <w:szCs w:val="32"/>
          <w:lang w:val="en-US" w:eastAsia="zh-CN" w:bidi="ar"/>
        </w:rPr>
        <w:t>1.5</w:t>
      </w:r>
      <w:r>
        <w:rPr>
          <w:rFonts w:hint="eastAsia" w:ascii="方正仿宋_GBK" w:hAnsi="方正仿宋_GBK" w:eastAsia="方正仿宋_GBK" w:cs="方正仿宋_GBK"/>
          <w:kern w:val="2"/>
          <w:sz w:val="32"/>
          <w:szCs w:val="32"/>
          <w:lang w:val="en-US" w:eastAsia="zh-CN" w:bidi="ar"/>
        </w:rPr>
        <w:t>倍或同品种最高中选价挂网且不高于全国省级最低有效挂网价。原则上，不接受集采中选后供应品种清单以外同企业同品种其他规格、包装申请挂网；临床确有需求的，以中选价格为基准，按照《药品差比价规则》确定挂网价格。</w:t>
      </w:r>
    </w:p>
    <w:p w14:paraId="6D97C2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（三）麻、精及短缺、易短缺药品。</w:t>
      </w:r>
      <w:r>
        <w:rPr>
          <w:rFonts w:hint="eastAsia" w:ascii="方正仿宋_GBK" w:hAnsi="方正仿宋_GBK" w:eastAsia="方正仿宋_GBK" w:cs="方正仿宋_GBK"/>
          <w:kern w:val="2"/>
          <w:sz w:val="32"/>
          <w:szCs w:val="32"/>
          <w:lang w:val="en-US" w:eastAsia="zh-CN" w:bidi="ar"/>
        </w:rPr>
        <w:t>实行政府指导价的麻醉和第一类精神药</w:t>
      </w:r>
      <w:r>
        <w:rPr>
          <w:rFonts w:hint="eastAsia" w:ascii="方正仿宋_GBK" w:hAnsi="方正仿宋_GBK" w:eastAsia="方正仿宋_GBK" w:cs="方正仿宋_GBK"/>
          <w:spacing w:val="-6"/>
          <w:kern w:val="2"/>
          <w:sz w:val="32"/>
          <w:szCs w:val="32"/>
          <w:lang w:val="en-US" w:eastAsia="zh-CN" w:bidi="ar"/>
        </w:rPr>
        <w:t>品，如申报挂网，挂网价格不高于政府指导价或备案价。国家和省级短缺、易短缺药品清单内的药品，按照《短缺药品价格的风</w:t>
      </w:r>
      <w:r>
        <w:rPr>
          <w:rFonts w:hint="eastAsia" w:ascii="方正仿宋_GBK" w:hAnsi="方正仿宋_GBK" w:eastAsia="方正仿宋_GBK" w:cs="方正仿宋_GBK"/>
          <w:kern w:val="2"/>
          <w:sz w:val="32"/>
          <w:szCs w:val="32"/>
          <w:lang w:val="en-US" w:eastAsia="zh-CN" w:bidi="ar"/>
        </w:rPr>
        <w:t>险管理操作指引》要求，排除价格风险后直接挂网。</w:t>
      </w:r>
    </w:p>
    <w:p w14:paraId="19A14B6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（四）普通挂网药品。</w:t>
      </w:r>
      <w:r>
        <w:rPr>
          <w:rFonts w:hint="eastAsia" w:ascii="方正仿宋_GBK" w:hAnsi="方正仿宋_GBK" w:eastAsia="方正仿宋_GBK" w:cs="方正仿宋_GBK"/>
          <w:b w:val="0"/>
          <w:bCs w:val="0"/>
          <w:kern w:val="2"/>
          <w:sz w:val="32"/>
          <w:szCs w:val="32"/>
          <w:lang w:val="en-US" w:eastAsia="zh-CN" w:bidi="ar"/>
        </w:rPr>
        <w:t>普通药品申请挂网，原则上需满足</w:t>
      </w:r>
      <w:r>
        <w:rPr>
          <w:rFonts w:hint="default" w:ascii="Times New Roman" w:hAnsi="Times New Roman" w:eastAsia="方正仿宋_GBK" w:cs="Times New Roman"/>
          <w:b w:val="0"/>
          <w:bCs w:val="0"/>
          <w:kern w:val="2"/>
          <w:sz w:val="32"/>
          <w:szCs w:val="32"/>
          <w:lang w:val="en-US" w:eastAsia="zh-CN" w:bidi="ar"/>
        </w:rPr>
        <w:t>3</w:t>
      </w:r>
      <w:r>
        <w:rPr>
          <w:rFonts w:hint="eastAsia" w:ascii="方正仿宋_GBK" w:hAnsi="方正仿宋_GBK" w:eastAsia="方正仿宋_GBK" w:cs="方正仿宋_GBK"/>
          <w:b w:val="0"/>
          <w:bCs w:val="0"/>
          <w:kern w:val="2"/>
          <w:sz w:val="32"/>
          <w:szCs w:val="32"/>
          <w:lang w:val="en-US" w:eastAsia="zh-CN" w:bidi="ar"/>
        </w:rPr>
        <w:t>个其他省级采购平台挂网，挂网价格</w:t>
      </w:r>
      <w:r>
        <w:rPr>
          <w:rFonts w:hint="eastAsia" w:ascii="方正仿宋_GBK" w:hAnsi="方正仿宋_GBK" w:eastAsia="方正仿宋_GBK" w:cs="方正仿宋_GBK"/>
          <w:kern w:val="2"/>
          <w:sz w:val="32"/>
          <w:szCs w:val="32"/>
          <w:lang w:val="en-US" w:eastAsia="zh-CN" w:bidi="ar"/>
        </w:rPr>
        <w:t>不高于该药品全国省级最低有效挂网价且满足药品差比价有关要求。其中，新上市药品首发挂网优化采购流程，由企业根据药学和临床价值为基础自我评价、自主定价，公开接受社会监督和同行评议。对符合挂网条件的，按照医保领域“高效办成一件事”及我省相关要求及时办理。</w:t>
      </w:r>
    </w:p>
    <w:p w14:paraId="3AA81C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三、强化价格体系管理</w:t>
      </w:r>
    </w:p>
    <w:p w14:paraId="0571820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方正楷体_GBK" w:hAnsi="方正楷体_GBK" w:eastAsia="方正楷体_GBK" w:cs="方正楷体_GBK"/>
          <w:b w:val="0"/>
          <w:bCs w:val="0"/>
          <w:kern w:val="2"/>
          <w:sz w:val="32"/>
          <w:szCs w:val="32"/>
        </w:rPr>
      </w:pPr>
      <w:r>
        <w:rPr>
          <w:rFonts w:hint="eastAsia" w:ascii="方正楷体_GBK" w:hAnsi="方正楷体_GBK" w:eastAsia="方正楷体_GBK" w:cs="方正楷体_GBK"/>
          <w:b w:val="0"/>
          <w:bCs w:val="0"/>
          <w:kern w:val="2"/>
          <w:sz w:val="32"/>
          <w:szCs w:val="32"/>
          <w:lang w:val="en-US" w:eastAsia="zh-CN" w:bidi="ar"/>
        </w:rPr>
        <w:t>（一）价格动态联动</w:t>
      </w:r>
    </w:p>
    <w:p w14:paraId="6FBDE0D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除集采药品外，挂网药品在全国其他省级平台出现新的最低有效挂网价（按最小制剂单位）且低于我省挂网价格的，企业应在</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天内向平台申请调整。省际间价格联动时，口服制剂最小零售包装单位价格差异在</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且</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元以内的，注射剂以及其他剂型最小制剂单位价格整数位及小数点后第</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位均相同的，可视为价格一致，不强制要求向下联动。</w:t>
      </w:r>
    </w:p>
    <w:p w14:paraId="7BD1B6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楷体" w:hAnsi="楷体" w:eastAsia="方正楷体_GBK" w:cs="楷体"/>
          <w:b w:val="0"/>
          <w:bCs w:val="0"/>
          <w:kern w:val="2"/>
          <w:sz w:val="32"/>
          <w:szCs w:val="32"/>
        </w:rPr>
      </w:pPr>
      <w:r>
        <w:rPr>
          <w:rFonts w:hint="eastAsia" w:ascii="楷体" w:hAnsi="楷体" w:eastAsia="方正楷体_GBK" w:cs="楷体"/>
          <w:b w:val="0"/>
          <w:bCs w:val="0"/>
          <w:kern w:val="2"/>
          <w:sz w:val="32"/>
          <w:szCs w:val="32"/>
          <w:lang w:val="en-US" w:eastAsia="zh-CN" w:bidi="ar"/>
        </w:rPr>
        <w:t>（二）理顺比价关系</w:t>
      </w:r>
    </w:p>
    <w:p w14:paraId="17A425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kern w:val="2"/>
          <w:sz w:val="32"/>
          <w:szCs w:val="32"/>
        </w:rPr>
      </w:pPr>
      <w:r>
        <w:rPr>
          <w:rFonts w:hint="default" w:ascii="Times New Roman" w:hAnsi="Times New Roman" w:eastAsia="方正仿宋_GBK" w:cs="Times New Roman"/>
          <w:b w:val="0"/>
          <w:bCs w:val="0"/>
          <w:kern w:val="2"/>
          <w:sz w:val="32"/>
          <w:szCs w:val="32"/>
          <w:lang w:val="en-US" w:eastAsia="zh-CN" w:bidi="ar"/>
        </w:rPr>
        <w:t>1</w:t>
      </w:r>
      <w:r>
        <w:rPr>
          <w:rFonts w:hint="eastAsia" w:ascii="Times New Roman" w:hAnsi="Times New Roman" w:cs="Times New Roman"/>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同种药品、同厂牌。</w:t>
      </w:r>
      <w:r>
        <w:rPr>
          <w:rFonts w:hint="eastAsia" w:ascii="方正仿宋_GBK" w:hAnsi="方正仿宋_GBK" w:eastAsia="方正仿宋_GBK" w:cs="方正仿宋_GBK"/>
          <w:kern w:val="2"/>
          <w:sz w:val="32"/>
          <w:szCs w:val="32"/>
          <w:lang w:val="en-US" w:eastAsia="zh-CN" w:bidi="ar"/>
        </w:rPr>
        <w:t>除集采药品外，同种药品、同厂牌在平台新申报挂网价格的，需满足：（</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地区间：不超过已挂网省份挂网价格或已挂网省份其他剂型、规格、包装挂网价格按《药品差比价规则》换算的结果。同时存在多种比较锚点的，按照“先包装后规格再剂型”的顺序就“近”比较，排除倒挂。（</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）剂型、规格和包装间：不同剂</w:t>
      </w:r>
      <w:r>
        <w:rPr>
          <w:rFonts w:hint="eastAsia" w:ascii="方正仿宋_GBK" w:hAnsi="方正仿宋_GBK" w:eastAsia="方正仿宋_GBK" w:cs="方正仿宋_GBK"/>
          <w:spacing w:val="-6"/>
          <w:kern w:val="2"/>
          <w:sz w:val="32"/>
          <w:szCs w:val="32"/>
          <w:lang w:val="en-US" w:eastAsia="zh-CN" w:bidi="ar"/>
        </w:rPr>
        <w:t>型、规格和包装的挂网价格，原则上应符合《药品差比价规则》等规定。（</w:t>
      </w:r>
      <w:r>
        <w:rPr>
          <w:rFonts w:hint="default" w:ascii="Times New Roman" w:hAnsi="Times New Roman" w:eastAsia="方正仿宋_GBK" w:cs="Times New Roman"/>
          <w:spacing w:val="-6"/>
          <w:kern w:val="2"/>
          <w:sz w:val="32"/>
          <w:szCs w:val="32"/>
          <w:lang w:val="en-US" w:eastAsia="zh-CN" w:bidi="ar"/>
        </w:rPr>
        <w:t>3</w:t>
      </w:r>
      <w:r>
        <w:rPr>
          <w:rFonts w:hint="eastAsia" w:ascii="方正仿宋_GBK" w:hAnsi="方正仿宋_GBK" w:eastAsia="方正仿宋_GBK" w:cs="方正仿宋_GBK"/>
          <w:spacing w:val="-6"/>
          <w:kern w:val="2"/>
          <w:sz w:val="32"/>
          <w:szCs w:val="32"/>
          <w:lang w:val="en-US" w:eastAsia="zh-CN" w:bidi="ar"/>
        </w:rPr>
        <w:t>）销售渠道间：挂网价格原则上应与供应当地定点社会办医疗机构价格、当地社会药店零售价格和互联网售药平台“即</w:t>
      </w:r>
      <w:r>
        <w:rPr>
          <w:rFonts w:hint="eastAsia" w:ascii="方正仿宋_GBK" w:hAnsi="方正仿宋_GBK" w:eastAsia="方正仿宋_GBK" w:cs="方正仿宋_GBK"/>
          <w:kern w:val="2"/>
          <w:sz w:val="32"/>
          <w:szCs w:val="32"/>
          <w:lang w:val="en-US" w:eastAsia="zh-CN" w:bidi="ar"/>
        </w:rPr>
        <w:t>时达”价格保持相当，申报价格高于当地社会药店零售价格和互联网售药平台“即时达”价格集中区间</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倍的，平台应及时督促企业调整挂网价格至合理水平。</w:t>
      </w:r>
    </w:p>
    <w:p w14:paraId="1AA1FE7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firstLine="640" w:firstLineChars="200"/>
        <w:jc w:val="both"/>
        <w:textAlignment w:val="auto"/>
        <w:rPr>
          <w:rFonts w:hint="eastAsia"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2</w:t>
      </w:r>
      <w:r>
        <w:rPr>
          <w:rFonts w:hint="eastAsia" w:ascii="Times New Roman" w:hAnsi="Times New Roman" w:cs="Times New Roman"/>
          <w:b w:val="0"/>
          <w:bCs w:val="0"/>
          <w:kern w:val="2"/>
          <w:sz w:val="32"/>
          <w:szCs w:val="32"/>
          <w:lang w:val="en-US" w:eastAsia="zh-CN" w:bidi="ar"/>
        </w:rPr>
        <w:t>．</w:t>
      </w:r>
      <w:r>
        <w:rPr>
          <w:rFonts w:hint="eastAsia" w:ascii="方正仿宋_GBK" w:hAnsi="方正仿宋_GBK" w:eastAsia="方正仿宋_GBK" w:cs="方正仿宋_GBK"/>
          <w:b w:val="0"/>
          <w:bCs w:val="0"/>
          <w:kern w:val="2"/>
          <w:sz w:val="32"/>
          <w:szCs w:val="32"/>
          <w:lang w:val="en-US" w:eastAsia="zh-CN" w:bidi="ar"/>
        </w:rPr>
        <w:t>同种药品、不同厂牌</w:t>
      </w:r>
    </w:p>
    <w:tbl>
      <w:tblPr>
        <w:tblStyle w:val="6"/>
        <w:tblW w:w="51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506"/>
        <w:gridCol w:w="1054"/>
        <w:gridCol w:w="1021"/>
        <w:gridCol w:w="936"/>
        <w:gridCol w:w="1936"/>
        <w:gridCol w:w="804"/>
        <w:gridCol w:w="822"/>
        <w:gridCol w:w="789"/>
        <w:gridCol w:w="888"/>
      </w:tblGrid>
      <w:tr w14:paraId="2FA1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5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3F8BCE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产品类型</w:t>
            </w:r>
          </w:p>
        </w:tc>
        <w:tc>
          <w:tcPr>
            <w:tcW w:w="2670" w:type="pct"/>
            <w:gridSpan w:val="4"/>
            <w:tcBorders>
              <w:top w:val="single" w:color="000000" w:sz="4" w:space="0"/>
              <w:left w:val="nil"/>
              <w:bottom w:val="single" w:color="000000" w:sz="4" w:space="0"/>
              <w:right w:val="single" w:color="000000" w:sz="4" w:space="0"/>
            </w:tcBorders>
            <w:shd w:val="clear" w:color="auto" w:fill="auto"/>
            <w:noWrap/>
            <w:tcMar>
              <w:top w:w="0" w:type="dxa"/>
              <w:left w:w="57" w:type="dxa"/>
              <w:bottom w:w="0" w:type="dxa"/>
              <w:right w:w="57" w:type="dxa"/>
            </w:tcMar>
            <w:vAlign w:val="center"/>
          </w:tcPr>
          <w:p w14:paraId="3BC29D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化药（口服固体制剂、</w:t>
            </w:r>
            <w:r>
              <w:rPr>
                <w:rStyle w:val="10"/>
                <w:rFonts w:hint="eastAsia" w:ascii="宋体" w:hAnsi="宋体" w:eastAsia="宋体" w:cs="宋体"/>
                <w:b/>
                <w:bCs/>
                <w:color w:val="000000"/>
                <w:kern w:val="2"/>
                <w:sz w:val="22"/>
                <w:szCs w:val="22"/>
                <w:lang w:val="en-US" w:eastAsia="zh-CN" w:bidi="ar"/>
              </w:rPr>
              <w:t>注射剂）</w:t>
            </w:r>
          </w:p>
        </w:tc>
        <w:tc>
          <w:tcPr>
            <w:tcW w:w="877" w:type="pct"/>
            <w:gridSpan w:val="2"/>
            <w:vMerge w:val="restart"/>
            <w:tcBorders>
              <w:top w:val="single" w:color="000000" w:sz="4" w:space="0"/>
              <w:left w:val="nil"/>
              <w:bottom w:val="nil"/>
              <w:right w:val="single" w:color="000000" w:sz="4" w:space="0"/>
            </w:tcBorders>
            <w:shd w:val="clear" w:color="auto" w:fill="auto"/>
            <w:noWrap/>
            <w:tcMar>
              <w:top w:w="0" w:type="dxa"/>
              <w:left w:w="57" w:type="dxa"/>
              <w:bottom w:w="0" w:type="dxa"/>
              <w:right w:w="57" w:type="dxa"/>
            </w:tcMar>
            <w:vAlign w:val="center"/>
          </w:tcPr>
          <w:p w14:paraId="204A92F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中成药</w:t>
            </w:r>
          </w:p>
        </w:tc>
        <w:tc>
          <w:tcPr>
            <w:tcW w:w="905" w:type="pct"/>
            <w:gridSpan w:val="2"/>
            <w:vMerge w:val="restart"/>
            <w:tcBorders>
              <w:top w:val="single" w:color="000000" w:sz="4" w:space="0"/>
              <w:left w:val="nil"/>
              <w:bottom w:val="nil"/>
              <w:right w:val="single" w:color="000000" w:sz="4" w:space="0"/>
            </w:tcBorders>
            <w:shd w:val="clear" w:color="auto" w:fill="auto"/>
            <w:noWrap/>
            <w:tcMar>
              <w:top w:w="0" w:type="dxa"/>
              <w:left w:w="57" w:type="dxa"/>
              <w:bottom w:w="0" w:type="dxa"/>
              <w:right w:w="57" w:type="dxa"/>
            </w:tcMar>
            <w:vAlign w:val="center"/>
          </w:tcPr>
          <w:p w14:paraId="6AAE56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生物类似药</w:t>
            </w:r>
          </w:p>
        </w:tc>
      </w:tr>
      <w:tr w14:paraId="4E80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5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57" w:type="dxa"/>
              <w:bottom w:w="0" w:type="dxa"/>
              <w:right w:w="57" w:type="dxa"/>
            </w:tcMar>
            <w:vAlign w:val="center"/>
          </w:tcPr>
          <w:p w14:paraId="2F85135D">
            <w:pPr>
              <w:keepNext w:val="0"/>
              <w:keepLines w:val="0"/>
              <w:pageBreakBefore w:val="0"/>
              <w:suppressLineNumbers w:val="0"/>
              <w:kinsoku/>
              <w:wordWrap/>
              <w:overflowPunct/>
              <w:topLinePunct w:val="0"/>
              <w:autoSpaceDN/>
              <w:bidi w:val="0"/>
              <w:adjustRightInd/>
              <w:snapToGrid/>
              <w:spacing w:before="0" w:beforeAutospacing="0" w:after="0" w:afterAutospacing="0" w:line="590" w:lineRule="exact"/>
              <w:ind w:left="0" w:right="0"/>
              <w:jc w:val="center"/>
              <w:rPr>
                <w:rFonts w:hint="default" w:ascii="Times New Roman" w:hAnsi="Times New Roman" w:cs="Times New Roman"/>
                <w:sz w:val="22"/>
                <w:szCs w:val="22"/>
              </w:rPr>
            </w:pPr>
          </w:p>
        </w:tc>
        <w:tc>
          <w:tcPr>
            <w:tcW w:w="569" w:type="pct"/>
            <w:tcBorders>
              <w:top w:val="single" w:color="000000" w:sz="4" w:space="0"/>
              <w:left w:val="nil"/>
              <w:bottom w:val="single" w:color="000000" w:sz="4" w:space="0"/>
              <w:right w:val="single" w:color="000000" w:sz="4" w:space="0"/>
            </w:tcBorders>
            <w:shd w:val="clear" w:color="auto" w:fill="auto"/>
            <w:noWrap/>
            <w:tcMar>
              <w:top w:w="0" w:type="dxa"/>
              <w:left w:w="57" w:type="dxa"/>
              <w:bottom w:w="0" w:type="dxa"/>
              <w:right w:w="57" w:type="dxa"/>
            </w:tcMar>
            <w:vAlign w:val="center"/>
          </w:tcPr>
          <w:p w14:paraId="5D64CC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参比制剂</w:t>
            </w:r>
          </w:p>
        </w:tc>
        <w:tc>
          <w:tcPr>
            <w:tcW w:w="1056" w:type="pct"/>
            <w:gridSpan w:val="2"/>
            <w:tcBorders>
              <w:top w:val="single" w:color="000000" w:sz="4" w:space="0"/>
              <w:left w:val="nil"/>
              <w:bottom w:val="single" w:color="000000" w:sz="4" w:space="0"/>
              <w:right w:val="single" w:color="000000" w:sz="4" w:space="0"/>
            </w:tcBorders>
            <w:shd w:val="clear" w:color="auto" w:fill="auto"/>
            <w:noWrap/>
            <w:tcMar>
              <w:top w:w="0" w:type="dxa"/>
              <w:left w:w="57" w:type="dxa"/>
              <w:bottom w:w="0" w:type="dxa"/>
              <w:right w:w="57" w:type="dxa"/>
            </w:tcMar>
            <w:vAlign w:val="center"/>
          </w:tcPr>
          <w:p w14:paraId="072AE9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过评同通用名药</w:t>
            </w:r>
          </w:p>
        </w:tc>
        <w:tc>
          <w:tcPr>
            <w:tcW w:w="1045" w:type="pct"/>
            <w:tcBorders>
              <w:top w:val="single" w:color="000000" w:sz="4" w:space="0"/>
              <w:left w:val="nil"/>
              <w:bottom w:val="single" w:color="000000" w:sz="4" w:space="0"/>
              <w:right w:val="single" w:color="000000" w:sz="4" w:space="0"/>
            </w:tcBorders>
            <w:shd w:val="clear" w:color="auto" w:fill="auto"/>
            <w:noWrap/>
            <w:tcMar>
              <w:top w:w="0" w:type="dxa"/>
              <w:left w:w="57" w:type="dxa"/>
              <w:bottom w:w="0" w:type="dxa"/>
              <w:right w:w="57" w:type="dxa"/>
            </w:tcMar>
            <w:vAlign w:val="center"/>
          </w:tcPr>
          <w:p w14:paraId="7943D6F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eastAsia" w:ascii="宋体" w:hAnsi="宋体" w:eastAsia="宋体" w:cs="宋体"/>
                <w:b/>
                <w:bCs/>
                <w:i w:val="0"/>
                <w:iCs w:val="0"/>
                <w:color w:val="000000"/>
                <w:kern w:val="2"/>
                <w:sz w:val="22"/>
                <w:szCs w:val="22"/>
              </w:rPr>
            </w:pPr>
            <w:r>
              <w:rPr>
                <w:rFonts w:hint="eastAsia" w:ascii="宋体" w:hAnsi="宋体" w:eastAsia="宋体" w:cs="宋体"/>
                <w:b/>
                <w:bCs/>
                <w:i w:val="0"/>
                <w:iCs w:val="0"/>
                <w:color w:val="000000"/>
                <w:kern w:val="0"/>
                <w:sz w:val="22"/>
                <w:szCs w:val="22"/>
                <w:lang w:val="en-US" w:eastAsia="zh-CN" w:bidi="ar"/>
              </w:rPr>
              <w:t>未过评同通用名药</w:t>
            </w:r>
          </w:p>
        </w:tc>
        <w:tc>
          <w:tcPr>
            <w:tcW w:w="877" w:type="pct"/>
            <w:gridSpan w:val="2"/>
            <w:vMerge w:val="continue"/>
            <w:tcBorders>
              <w:top w:val="single" w:color="000000" w:sz="4" w:space="0"/>
              <w:left w:val="nil"/>
              <w:bottom w:val="nil"/>
              <w:right w:val="single" w:color="000000" w:sz="4" w:space="0"/>
            </w:tcBorders>
            <w:shd w:val="clear" w:color="auto" w:fill="auto"/>
            <w:noWrap/>
            <w:tcMar>
              <w:top w:w="0" w:type="dxa"/>
              <w:left w:w="57" w:type="dxa"/>
              <w:bottom w:w="0" w:type="dxa"/>
              <w:right w:w="57" w:type="dxa"/>
            </w:tcMar>
            <w:vAlign w:val="center"/>
          </w:tcPr>
          <w:p w14:paraId="2DDCBC16">
            <w:pPr>
              <w:keepNext w:val="0"/>
              <w:keepLines w:val="0"/>
              <w:pageBreakBefore w:val="0"/>
              <w:suppressLineNumbers w:val="0"/>
              <w:kinsoku/>
              <w:wordWrap/>
              <w:overflowPunct/>
              <w:topLinePunct w:val="0"/>
              <w:autoSpaceDN/>
              <w:bidi w:val="0"/>
              <w:adjustRightInd/>
              <w:snapToGrid/>
              <w:spacing w:before="0" w:beforeAutospacing="0" w:after="0" w:afterAutospacing="0" w:line="590" w:lineRule="exact"/>
              <w:ind w:left="0" w:right="0"/>
              <w:jc w:val="center"/>
              <w:rPr>
                <w:rFonts w:hint="default" w:ascii="Times New Roman" w:hAnsi="Times New Roman" w:cs="Times New Roman"/>
                <w:sz w:val="22"/>
                <w:szCs w:val="22"/>
              </w:rPr>
            </w:pPr>
          </w:p>
        </w:tc>
        <w:tc>
          <w:tcPr>
            <w:tcW w:w="905" w:type="pct"/>
            <w:gridSpan w:val="2"/>
            <w:vMerge w:val="continue"/>
            <w:tcBorders>
              <w:top w:val="single" w:color="000000" w:sz="4" w:space="0"/>
              <w:left w:val="nil"/>
              <w:bottom w:val="nil"/>
              <w:right w:val="single" w:color="000000" w:sz="4" w:space="0"/>
            </w:tcBorders>
            <w:shd w:val="clear" w:color="auto" w:fill="auto"/>
            <w:noWrap/>
            <w:tcMar>
              <w:top w:w="0" w:type="dxa"/>
              <w:left w:w="57" w:type="dxa"/>
              <w:bottom w:w="0" w:type="dxa"/>
              <w:right w:w="57" w:type="dxa"/>
            </w:tcMar>
            <w:vAlign w:val="center"/>
          </w:tcPr>
          <w:p w14:paraId="4A2DCCD2">
            <w:pPr>
              <w:keepNext w:val="0"/>
              <w:keepLines w:val="0"/>
              <w:pageBreakBefore w:val="0"/>
              <w:suppressLineNumbers w:val="0"/>
              <w:kinsoku/>
              <w:wordWrap/>
              <w:overflowPunct/>
              <w:topLinePunct w:val="0"/>
              <w:autoSpaceDN/>
              <w:bidi w:val="0"/>
              <w:adjustRightInd/>
              <w:snapToGrid/>
              <w:spacing w:before="0" w:beforeAutospacing="0" w:after="0" w:afterAutospacing="0" w:line="590" w:lineRule="exact"/>
              <w:ind w:left="0" w:right="0"/>
              <w:jc w:val="center"/>
              <w:rPr>
                <w:rFonts w:hint="default" w:ascii="Times New Roman" w:hAnsi="Times New Roman" w:cs="Times New Roman"/>
                <w:sz w:val="22"/>
                <w:szCs w:val="22"/>
              </w:rPr>
            </w:pPr>
          </w:p>
        </w:tc>
      </w:tr>
      <w:tr w14:paraId="0EE9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2D9FCD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新</w:t>
            </w:r>
          </w:p>
          <w:p w14:paraId="222556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挂</w:t>
            </w:r>
          </w:p>
          <w:p w14:paraId="62E08F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网</w:t>
            </w:r>
          </w:p>
          <w:p w14:paraId="3AC34B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产</w:t>
            </w:r>
          </w:p>
          <w:p w14:paraId="563DE9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2"/>
                <w:sz w:val="22"/>
                <w:szCs w:val="22"/>
              </w:rPr>
            </w:pPr>
            <w:r>
              <w:rPr>
                <w:rFonts w:hint="default" w:ascii="Times New Roman" w:hAnsi="Times New Roman" w:eastAsia="宋体" w:cs="Times New Roman"/>
                <w:b/>
                <w:bCs/>
                <w:i w:val="0"/>
                <w:iCs w:val="0"/>
                <w:color w:val="000000"/>
                <w:kern w:val="0"/>
                <w:sz w:val="22"/>
                <w:szCs w:val="22"/>
                <w:lang w:val="en-US" w:eastAsia="zh-CN" w:bidi="ar"/>
              </w:rPr>
              <w:t>品</w:t>
            </w:r>
          </w:p>
        </w:tc>
        <w:tc>
          <w:tcPr>
            <w:tcW w:w="569"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239DE2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rPr>
                <w:rFonts w:hint="default" w:ascii="Times New Roman" w:hAnsi="Times New Roman" w:eastAsia="宋体" w:cs="Times New Roman"/>
                <w:b w:val="0"/>
                <w:bCs w:val="0"/>
                <w:i w:val="0"/>
                <w:iCs w:val="0"/>
                <w:color w:val="000000"/>
                <w:kern w:val="2"/>
                <w:sz w:val="22"/>
                <w:szCs w:val="22"/>
              </w:rPr>
            </w:pPr>
          </w:p>
        </w:tc>
        <w:tc>
          <w:tcPr>
            <w:tcW w:w="1056" w:type="pct"/>
            <w:gridSpan w:val="2"/>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2E6DA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Style w:val="11"/>
                <w:rFonts w:hint="default" w:ascii="Times New Roman" w:hAnsi="Times New Roman" w:eastAsia="宋体" w:cs="Times New Roman"/>
                <w:b w:val="0"/>
                <w:bCs w:val="0"/>
                <w:color w:val="000000"/>
                <w:kern w:val="2"/>
                <w:sz w:val="22"/>
                <w:szCs w:val="22"/>
                <w:lang w:val="en-US" w:eastAsia="zh-CN" w:bidi="ar"/>
              </w:rPr>
              <w:t>挂网价格不高于参比制剂挂网价70%，且不高于过评前挂网价格的2倍</w:t>
            </w:r>
          </w:p>
        </w:tc>
        <w:tc>
          <w:tcPr>
            <w:tcW w:w="104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952D0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1</w:t>
            </w:r>
            <w:bookmarkStart w:id="1" w:name="OLE_LINK2"/>
            <w:r>
              <w:rPr>
                <w:rFonts w:hint="default" w:ascii="Times New Roman" w:hAnsi="Times New Roman" w:eastAsia="宋体" w:cs="Times New Roman"/>
                <w:b w:val="0"/>
                <w:bCs w:val="0"/>
                <w:i w:val="0"/>
                <w:iCs w:val="0"/>
                <w:color w:val="000000"/>
                <w:kern w:val="0"/>
                <w:sz w:val="22"/>
                <w:szCs w:val="22"/>
                <w:lang w:val="en-US" w:eastAsia="zh-CN" w:bidi="ar"/>
              </w:rPr>
              <w:t>．</w:t>
            </w:r>
            <w:bookmarkEnd w:id="1"/>
            <w:r>
              <w:rPr>
                <w:rStyle w:val="11"/>
                <w:rFonts w:hint="default" w:ascii="Times New Roman" w:hAnsi="Times New Roman" w:eastAsia="宋体" w:cs="Times New Roman"/>
                <w:b w:val="0"/>
                <w:bCs w:val="0"/>
                <w:color w:val="000000"/>
                <w:kern w:val="2"/>
                <w:sz w:val="22"/>
                <w:szCs w:val="22"/>
                <w:lang w:val="en-US" w:eastAsia="zh-CN" w:bidi="ar"/>
              </w:rPr>
              <w:t>挂网价格不高于参比制剂挂网价60%</w:t>
            </w:r>
            <w:r>
              <w:rPr>
                <w:rFonts w:hint="default" w:ascii="Times New Roman" w:hAnsi="Times New Roman" w:eastAsia="宋体" w:cs="Times New Roman"/>
                <w:b w:val="0"/>
                <w:bCs w:val="0"/>
                <w:i w:val="0"/>
                <w:iCs w:val="0"/>
                <w:color w:val="000000"/>
                <w:kern w:val="0"/>
                <w:sz w:val="22"/>
                <w:szCs w:val="22"/>
                <w:lang w:val="en-US" w:eastAsia="zh-CN" w:bidi="ar"/>
              </w:rPr>
              <w:t>；</w:t>
            </w:r>
            <w:r>
              <w:rPr>
                <w:rStyle w:val="12"/>
                <w:rFonts w:hint="default" w:ascii="Times New Roman" w:hAnsi="Times New Roman" w:eastAsia="宋体" w:cs="Times New Roman"/>
                <w:b w:val="0"/>
                <w:bCs w:val="0"/>
                <w:color w:val="000000"/>
                <w:kern w:val="2"/>
                <w:sz w:val="22"/>
                <w:szCs w:val="22"/>
                <w:lang w:val="en-US" w:eastAsia="zh-CN" w:bidi="ar"/>
              </w:rPr>
              <w:br w:type="textWrapping"/>
            </w:r>
            <w:r>
              <w:rPr>
                <w:rFonts w:hint="default" w:ascii="Times New Roman" w:hAnsi="Times New Roman" w:eastAsia="宋体" w:cs="Times New Roman"/>
                <w:b w:val="0"/>
                <w:bCs w:val="0"/>
                <w:i w:val="0"/>
                <w:iCs w:val="0"/>
                <w:color w:val="000000"/>
                <w:kern w:val="0"/>
                <w:sz w:val="22"/>
                <w:szCs w:val="22"/>
                <w:lang w:val="en-US" w:eastAsia="zh-CN" w:bidi="ar"/>
              </w:rPr>
              <w:t>2．有过评同通用名药时，未过评挂网价格原则上不高于过评药品最低挂网价格</w:t>
            </w:r>
            <w:bookmarkStart w:id="2" w:name="OLE_LINK3"/>
            <w:r>
              <w:rPr>
                <w:rFonts w:hint="default" w:ascii="Times New Roman" w:hAnsi="Times New Roman" w:eastAsia="宋体" w:cs="Times New Roman"/>
                <w:b w:val="0"/>
                <w:bCs w:val="0"/>
                <w:i w:val="0"/>
                <w:iCs w:val="0"/>
                <w:color w:val="000000"/>
                <w:kern w:val="0"/>
                <w:sz w:val="22"/>
                <w:szCs w:val="22"/>
                <w:lang w:val="en-US" w:eastAsia="zh-CN" w:bidi="ar"/>
              </w:rPr>
              <w:t>；</w:t>
            </w:r>
            <w:bookmarkEnd w:id="2"/>
            <w:r>
              <w:rPr>
                <w:rFonts w:hint="default" w:ascii="Times New Roman" w:hAnsi="Times New Roman" w:eastAsia="宋体" w:cs="Times New Roman"/>
                <w:b w:val="0"/>
                <w:bCs w:val="0"/>
                <w:i w:val="0"/>
                <w:iCs w:val="0"/>
                <w:color w:val="000000"/>
                <w:kern w:val="0"/>
                <w:sz w:val="22"/>
                <w:szCs w:val="22"/>
                <w:lang w:val="en-US" w:eastAsia="zh-CN" w:bidi="ar"/>
              </w:rPr>
              <w:br w:type="textWrapping"/>
            </w:r>
            <w:r>
              <w:rPr>
                <w:rFonts w:hint="default" w:ascii="Times New Roman" w:hAnsi="Times New Roman" w:eastAsia="宋体" w:cs="Times New Roman"/>
                <w:b w:val="0"/>
                <w:bCs w:val="0"/>
                <w:i w:val="0"/>
                <w:iCs w:val="0"/>
                <w:color w:val="000000"/>
                <w:kern w:val="0"/>
                <w:sz w:val="22"/>
                <w:szCs w:val="22"/>
                <w:lang w:val="en-US" w:eastAsia="zh-CN" w:bidi="ar"/>
              </w:rPr>
              <w:t>3．已开展集采的，未过评同通用名药挂网价格不高于集采最高中选价。</w:t>
            </w:r>
          </w:p>
        </w:tc>
        <w:tc>
          <w:tcPr>
            <w:tcW w:w="877" w:type="pct"/>
            <w:gridSpan w:val="2"/>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D87650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同名同方、异名同方的挂网价格不高于在本地平台申请挂网的首个中成药价格的80%</w:t>
            </w:r>
          </w:p>
        </w:tc>
        <w:tc>
          <w:tcPr>
            <w:tcW w:w="905" w:type="pct"/>
            <w:gridSpan w:val="2"/>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0570C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挂网价格不高于</w:t>
            </w:r>
            <w:r>
              <w:rPr>
                <w:rStyle w:val="12"/>
                <w:rFonts w:hint="default" w:ascii="Times New Roman" w:hAnsi="Times New Roman" w:eastAsia="宋体" w:cs="Times New Roman"/>
                <w:b w:val="0"/>
                <w:bCs w:val="0"/>
                <w:color w:val="000000"/>
                <w:kern w:val="2"/>
                <w:sz w:val="22"/>
                <w:szCs w:val="22"/>
                <w:lang w:val="en-US" w:eastAsia="zh-CN" w:bidi="ar"/>
              </w:rPr>
              <w:t>参照药</w:t>
            </w:r>
            <w:r>
              <w:rPr>
                <w:rFonts w:hint="default" w:ascii="Times New Roman" w:hAnsi="Times New Roman" w:eastAsia="宋体" w:cs="Times New Roman"/>
                <w:b w:val="0"/>
                <w:bCs w:val="0"/>
                <w:i w:val="0"/>
                <w:iCs w:val="0"/>
                <w:color w:val="000000"/>
                <w:kern w:val="0"/>
                <w:sz w:val="22"/>
                <w:szCs w:val="22"/>
                <w:lang w:val="en-US" w:eastAsia="zh-CN" w:bidi="ar"/>
              </w:rPr>
              <w:t>挂网价80%</w:t>
            </w:r>
          </w:p>
        </w:tc>
      </w:tr>
      <w:tr w14:paraId="77F3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2" w:type="pct"/>
            <w:vMerge w:val="restart"/>
            <w:tcBorders>
              <w:top w:val="nil"/>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0C50EF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2"/>
                <w:sz w:val="22"/>
                <w:szCs w:val="22"/>
              </w:rPr>
            </w:pPr>
            <w:r>
              <w:rPr>
                <w:rFonts w:hint="default" w:ascii="Times New Roman" w:hAnsi="Times New Roman" w:eastAsia="宋体" w:cs="Times New Roman"/>
                <w:b/>
                <w:bCs/>
                <w:i w:val="0"/>
                <w:iCs w:val="0"/>
                <w:color w:val="000000"/>
                <w:kern w:val="0"/>
                <w:sz w:val="22"/>
                <w:szCs w:val="22"/>
                <w:lang w:val="en-US" w:eastAsia="zh-CN" w:bidi="ar"/>
              </w:rPr>
              <w:t>所有已挂网产品</w:t>
            </w:r>
          </w:p>
        </w:tc>
        <w:tc>
          <w:tcPr>
            <w:tcW w:w="273"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66EE12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2"/>
                <w:sz w:val="22"/>
                <w:szCs w:val="22"/>
              </w:rPr>
            </w:pPr>
            <w:r>
              <w:rPr>
                <w:rFonts w:hint="default" w:ascii="Times New Roman" w:hAnsi="Times New Roman" w:eastAsia="宋体" w:cs="Times New Roman"/>
                <w:b/>
                <w:bCs/>
                <w:i w:val="0"/>
                <w:iCs w:val="0"/>
                <w:color w:val="000000"/>
                <w:kern w:val="0"/>
                <w:sz w:val="22"/>
                <w:szCs w:val="22"/>
                <w:lang w:val="en-US" w:eastAsia="zh-CN" w:bidi="ar"/>
              </w:rPr>
              <w:t>黄标</w:t>
            </w:r>
          </w:p>
        </w:tc>
        <w:tc>
          <w:tcPr>
            <w:tcW w:w="569"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6DC0A0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以同通用名药（参比制剂除外）最高挂网价格的1.8倍</w:t>
            </w:r>
          </w:p>
        </w:tc>
        <w:tc>
          <w:tcPr>
            <w:tcW w:w="551"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CA781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未开展集采的，以过评同通用名药最低挂网价的</w:t>
            </w:r>
            <w:r>
              <w:rPr>
                <w:rStyle w:val="13"/>
                <w:rFonts w:hint="default" w:ascii="Times New Roman" w:hAnsi="Times New Roman" w:eastAsia="宋体" w:cs="Times New Roman"/>
                <w:b w:val="0"/>
                <w:bCs w:val="0"/>
                <w:color w:val="000000"/>
                <w:kern w:val="2"/>
                <w:sz w:val="22"/>
                <w:szCs w:val="22"/>
                <w:lang w:val="en-US" w:eastAsia="zh-CN" w:bidi="ar"/>
              </w:rPr>
              <w:t>1.8</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50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8AD89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已开展集采的，以集采最高中选价的</w:t>
            </w:r>
            <w:r>
              <w:rPr>
                <w:rStyle w:val="13"/>
                <w:rFonts w:hint="default" w:ascii="Times New Roman" w:hAnsi="Times New Roman" w:eastAsia="宋体" w:cs="Times New Roman"/>
                <w:b w:val="0"/>
                <w:bCs w:val="0"/>
                <w:color w:val="000000"/>
                <w:kern w:val="2"/>
                <w:sz w:val="22"/>
                <w:szCs w:val="22"/>
                <w:lang w:val="en-US" w:eastAsia="zh-CN" w:bidi="ar"/>
              </w:rPr>
              <w:t>1.8</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104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42F8A51">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0" w:lineRule="exact"/>
              <w:ind w:left="0" w:leftChars="0" w:right="0" w:rightChars="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1．无过评同通用名药时，以未过评同通用名药最低挂网价的</w:t>
            </w:r>
            <w:r>
              <w:rPr>
                <w:rStyle w:val="13"/>
                <w:rFonts w:hint="default" w:ascii="Times New Roman" w:hAnsi="Times New Roman" w:eastAsia="宋体" w:cs="Times New Roman"/>
                <w:b w:val="0"/>
                <w:bCs w:val="0"/>
                <w:color w:val="000000"/>
                <w:kern w:val="2"/>
                <w:sz w:val="22"/>
                <w:szCs w:val="22"/>
                <w:lang w:val="en-US" w:eastAsia="zh-CN" w:bidi="ar"/>
              </w:rPr>
              <w:t>1.8</w:t>
            </w:r>
            <w:r>
              <w:rPr>
                <w:rFonts w:hint="default" w:ascii="Times New Roman" w:hAnsi="Times New Roman" w:eastAsia="宋体" w:cs="Times New Roman"/>
                <w:b w:val="0"/>
                <w:bCs w:val="0"/>
                <w:i w:val="0"/>
                <w:iCs w:val="0"/>
                <w:color w:val="000000"/>
                <w:kern w:val="0"/>
                <w:sz w:val="22"/>
                <w:szCs w:val="22"/>
                <w:lang w:val="en-US" w:eastAsia="zh-CN" w:bidi="ar"/>
              </w:rPr>
              <w:t>倍；</w:t>
            </w:r>
          </w:p>
          <w:p w14:paraId="3CDAFDA6">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0" w:lineRule="exact"/>
              <w:ind w:left="0" w:leftChars="0" w:right="0" w:rightChars="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2．有过评同通用名药时</w:t>
            </w:r>
            <w:r>
              <w:rPr>
                <w:rFonts w:hint="eastAsia" w:ascii="Times New Roman" w:hAnsi="Times New Roman" w:eastAsia="宋体" w:cs="Times New Roman"/>
                <w:b w:val="0"/>
                <w:bCs w:val="0"/>
                <w:i w:val="0"/>
                <w:iCs w:val="0"/>
                <w:color w:val="000000"/>
                <w:kern w:val="0"/>
                <w:sz w:val="22"/>
                <w:szCs w:val="22"/>
                <w:lang w:val="en-US" w:eastAsia="zh-CN" w:bidi="ar"/>
              </w:rPr>
              <w:t>，</w:t>
            </w:r>
            <w:r>
              <w:rPr>
                <w:rFonts w:hint="default" w:ascii="Times New Roman" w:hAnsi="Times New Roman" w:eastAsia="宋体" w:cs="Times New Roman"/>
                <w:b w:val="0"/>
                <w:bCs w:val="0"/>
                <w:i w:val="0"/>
                <w:iCs w:val="0"/>
                <w:color w:val="000000"/>
                <w:kern w:val="0"/>
                <w:sz w:val="22"/>
                <w:szCs w:val="22"/>
                <w:lang w:val="en-US" w:eastAsia="zh-CN" w:bidi="ar"/>
              </w:rPr>
              <w:t>高于过评药品最低挂网价格</w:t>
            </w:r>
          </w:p>
        </w:tc>
        <w:tc>
          <w:tcPr>
            <w:tcW w:w="434"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EAA8C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未开展集采的，以最低价折算日均治疗费用的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43"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1AF6C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已开展集采的，按集采最高中选价折算日均治疗费用的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2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9F963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未开展集采的，以日均治疗费用最低价的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79"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A7017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已开展集采的，以集采最高中选价折算日均治疗费用的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r>
      <w:tr w14:paraId="59B8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2" w:type="pct"/>
            <w:vMerge w:val="continue"/>
            <w:tcBorders>
              <w:top w:val="nil"/>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DDD5369">
            <w:pPr>
              <w:keepNext w:val="0"/>
              <w:keepLines w:val="0"/>
              <w:pageBreakBefore w:val="0"/>
              <w:suppressLineNumbers w:val="0"/>
              <w:kinsoku/>
              <w:wordWrap/>
              <w:overflowPunct/>
              <w:topLinePunct w:val="0"/>
              <w:autoSpaceDN/>
              <w:bidi w:val="0"/>
              <w:adjustRightInd/>
              <w:snapToGrid/>
              <w:spacing w:before="0" w:beforeAutospacing="0" w:after="0" w:afterAutospacing="0" w:line="590" w:lineRule="exact"/>
              <w:ind w:left="0" w:right="0"/>
              <w:jc w:val="center"/>
              <w:rPr>
                <w:rFonts w:hint="default" w:ascii="Times New Roman" w:hAnsi="Times New Roman" w:cs="Times New Roman"/>
                <w:sz w:val="22"/>
                <w:szCs w:val="22"/>
              </w:rPr>
            </w:pPr>
          </w:p>
        </w:tc>
        <w:tc>
          <w:tcPr>
            <w:tcW w:w="273"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CABA6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2"/>
                <w:sz w:val="22"/>
                <w:szCs w:val="22"/>
              </w:rPr>
            </w:pPr>
            <w:r>
              <w:rPr>
                <w:rFonts w:hint="default" w:ascii="Times New Roman" w:hAnsi="Times New Roman" w:eastAsia="宋体" w:cs="Times New Roman"/>
                <w:b/>
                <w:bCs/>
                <w:i w:val="0"/>
                <w:iCs w:val="0"/>
                <w:color w:val="000000"/>
                <w:kern w:val="0"/>
                <w:sz w:val="22"/>
                <w:szCs w:val="22"/>
                <w:lang w:val="en-US" w:eastAsia="zh-CN" w:bidi="ar"/>
              </w:rPr>
              <w:t>红标</w:t>
            </w:r>
          </w:p>
        </w:tc>
        <w:tc>
          <w:tcPr>
            <w:tcW w:w="569"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42543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rPr>
                <w:rFonts w:hint="default" w:ascii="Times New Roman" w:hAnsi="Times New Roman" w:eastAsia="宋体" w:cs="Times New Roman"/>
                <w:b w:val="0"/>
                <w:bCs w:val="0"/>
                <w:i w:val="0"/>
                <w:iCs w:val="0"/>
                <w:color w:val="000000"/>
                <w:kern w:val="2"/>
                <w:sz w:val="22"/>
                <w:szCs w:val="22"/>
              </w:rPr>
            </w:pPr>
          </w:p>
        </w:tc>
        <w:tc>
          <w:tcPr>
            <w:tcW w:w="551"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2DBAF8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未开展集采的，以过评同通用名药最低挂网价的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50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27796B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已开展集采的，以集采最高中选价的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104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3FDB1D43">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0" w:lineRule="exact"/>
              <w:ind w:left="0" w:leftChars="0" w:right="0" w:rightChars="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1．无过评同通用名药时，以未过评同通用名药最低挂网的</w:t>
            </w:r>
            <w:r>
              <w:rPr>
                <w:rStyle w:val="13"/>
                <w:rFonts w:hint="default" w:ascii="Times New Roman" w:hAnsi="Times New Roman" w:eastAsia="宋体" w:cs="Times New Roman"/>
                <w:b w:val="0"/>
                <w:bCs w:val="0"/>
                <w:color w:val="000000"/>
                <w:kern w:val="2"/>
                <w:sz w:val="22"/>
                <w:szCs w:val="22"/>
                <w:lang w:val="en-US" w:eastAsia="zh-CN" w:bidi="ar"/>
              </w:rPr>
              <w:t>3</w:t>
            </w:r>
            <w:r>
              <w:rPr>
                <w:rFonts w:hint="default" w:ascii="Times New Roman" w:hAnsi="Times New Roman" w:eastAsia="宋体" w:cs="Times New Roman"/>
                <w:b w:val="0"/>
                <w:bCs w:val="0"/>
                <w:i w:val="0"/>
                <w:iCs w:val="0"/>
                <w:color w:val="000000"/>
                <w:kern w:val="0"/>
                <w:sz w:val="22"/>
                <w:szCs w:val="22"/>
                <w:lang w:val="en-US" w:eastAsia="zh-CN" w:bidi="ar"/>
              </w:rPr>
              <w:t>倍；</w:t>
            </w:r>
          </w:p>
          <w:p w14:paraId="08CC9443">
            <w:pPr>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0" w:lineRule="exact"/>
              <w:ind w:left="0" w:leftChars="0" w:right="0" w:rightChars="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2．有过评同通用名药时</w:t>
            </w:r>
            <w:r>
              <w:rPr>
                <w:rFonts w:hint="eastAsia" w:ascii="Times New Roman" w:hAnsi="Times New Roman" w:eastAsia="宋体" w:cs="Times New Roman"/>
                <w:b w:val="0"/>
                <w:bCs w:val="0"/>
                <w:i w:val="0"/>
                <w:iCs w:val="0"/>
                <w:color w:val="000000"/>
                <w:kern w:val="0"/>
                <w:sz w:val="22"/>
                <w:szCs w:val="22"/>
                <w:lang w:val="en-US" w:eastAsia="zh-CN" w:bidi="ar"/>
              </w:rPr>
              <w:t>，</w:t>
            </w:r>
            <w:r>
              <w:rPr>
                <w:rFonts w:hint="default" w:ascii="Times New Roman" w:hAnsi="Times New Roman" w:eastAsia="宋体" w:cs="Times New Roman"/>
                <w:b w:val="0"/>
                <w:bCs w:val="0"/>
                <w:i w:val="0"/>
                <w:iCs w:val="0"/>
                <w:color w:val="000000"/>
                <w:kern w:val="0"/>
                <w:sz w:val="22"/>
                <w:szCs w:val="22"/>
                <w:lang w:val="en-US" w:eastAsia="zh-CN" w:bidi="ar"/>
              </w:rPr>
              <w:t>高于过评药品最低挂网价格1.8倍</w:t>
            </w:r>
          </w:p>
        </w:tc>
        <w:tc>
          <w:tcPr>
            <w:tcW w:w="434"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1DF436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未开展集采的，以最低价折算日均治疗费用的</w:t>
            </w:r>
            <w:r>
              <w:rPr>
                <w:rStyle w:val="13"/>
                <w:rFonts w:hint="default" w:ascii="Times New Roman" w:hAnsi="Times New Roman" w:eastAsia="宋体" w:cs="Times New Roman"/>
                <w:b w:val="0"/>
                <w:bCs w:val="0"/>
                <w:color w:val="000000"/>
                <w:kern w:val="2"/>
                <w:sz w:val="22"/>
                <w:szCs w:val="22"/>
                <w:lang w:val="en-US" w:eastAsia="zh-CN" w:bidi="ar"/>
              </w:rPr>
              <w:t>5</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43"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7FAECD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已开展集采的，按集采最高中选价折算日均治疗费用的</w:t>
            </w:r>
            <w:r>
              <w:rPr>
                <w:rStyle w:val="13"/>
                <w:rFonts w:hint="default" w:ascii="Times New Roman" w:hAnsi="Times New Roman" w:eastAsia="宋体" w:cs="Times New Roman"/>
                <w:b w:val="0"/>
                <w:bCs w:val="0"/>
                <w:color w:val="000000"/>
                <w:kern w:val="2"/>
                <w:sz w:val="22"/>
                <w:szCs w:val="22"/>
                <w:lang w:val="en-US" w:eastAsia="zh-CN" w:bidi="ar"/>
              </w:rPr>
              <w:t>5</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25"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418B3E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未开展集采的，以日均治疗费用最低价的</w:t>
            </w:r>
            <w:r>
              <w:rPr>
                <w:rStyle w:val="13"/>
                <w:rFonts w:hint="default" w:ascii="Times New Roman" w:hAnsi="Times New Roman" w:eastAsia="宋体" w:cs="Times New Roman"/>
                <w:b w:val="0"/>
                <w:bCs w:val="0"/>
                <w:color w:val="000000"/>
                <w:kern w:val="2"/>
                <w:sz w:val="22"/>
                <w:szCs w:val="22"/>
                <w:lang w:val="en-US" w:eastAsia="zh-CN" w:bidi="ar"/>
              </w:rPr>
              <w:t>5</w:t>
            </w:r>
            <w:r>
              <w:rPr>
                <w:rFonts w:hint="default" w:ascii="Times New Roman" w:hAnsi="Times New Roman" w:eastAsia="宋体" w:cs="Times New Roman"/>
                <w:b w:val="0"/>
                <w:bCs w:val="0"/>
                <w:i w:val="0"/>
                <w:iCs w:val="0"/>
                <w:color w:val="000000"/>
                <w:kern w:val="0"/>
                <w:sz w:val="22"/>
                <w:szCs w:val="22"/>
                <w:lang w:val="en-US" w:eastAsia="zh-CN" w:bidi="ar"/>
              </w:rPr>
              <w:t>倍</w:t>
            </w:r>
          </w:p>
        </w:tc>
        <w:tc>
          <w:tcPr>
            <w:tcW w:w="479" w:type="pct"/>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0E264D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2"/>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已开展集采的，以集采最高中选价折算日均治疗费用的</w:t>
            </w:r>
            <w:r>
              <w:rPr>
                <w:rStyle w:val="13"/>
                <w:rFonts w:hint="default" w:ascii="Times New Roman" w:hAnsi="Times New Roman" w:eastAsia="宋体" w:cs="Times New Roman"/>
                <w:b w:val="0"/>
                <w:bCs w:val="0"/>
                <w:color w:val="000000"/>
                <w:kern w:val="2"/>
                <w:sz w:val="22"/>
                <w:szCs w:val="22"/>
                <w:lang w:val="en-US" w:eastAsia="zh-CN" w:bidi="ar"/>
              </w:rPr>
              <w:t>5</w:t>
            </w:r>
            <w:r>
              <w:rPr>
                <w:rFonts w:hint="default" w:ascii="Times New Roman" w:hAnsi="Times New Roman" w:eastAsia="宋体" w:cs="Times New Roman"/>
                <w:b w:val="0"/>
                <w:bCs w:val="0"/>
                <w:i w:val="0"/>
                <w:iCs w:val="0"/>
                <w:color w:val="000000"/>
                <w:kern w:val="0"/>
                <w:sz w:val="22"/>
                <w:szCs w:val="22"/>
                <w:lang w:val="en-US" w:eastAsia="zh-CN" w:bidi="ar"/>
              </w:rPr>
              <w:t>倍</w:t>
            </w:r>
          </w:p>
        </w:tc>
      </w:tr>
      <w:tr w14:paraId="00E6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14:paraId="2B0EB7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豁</w:t>
            </w:r>
          </w:p>
          <w:p w14:paraId="07F35B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免</w:t>
            </w:r>
          </w:p>
          <w:p w14:paraId="4A16EC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bCs/>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条</w:t>
            </w:r>
          </w:p>
          <w:p w14:paraId="31B553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center"/>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bCs/>
                <w:i w:val="0"/>
                <w:iCs w:val="0"/>
                <w:color w:val="000000"/>
                <w:kern w:val="0"/>
                <w:sz w:val="22"/>
                <w:szCs w:val="22"/>
                <w:lang w:val="en-US" w:eastAsia="zh-CN" w:bidi="ar"/>
              </w:rPr>
              <w:t>件</w:t>
            </w:r>
          </w:p>
        </w:tc>
        <w:tc>
          <w:tcPr>
            <w:tcW w:w="2670" w:type="pct"/>
            <w:gridSpan w:val="4"/>
            <w:tcBorders>
              <w:top w:val="single" w:color="000000" w:sz="4" w:space="0"/>
              <w:left w:val="nil"/>
              <w:bottom w:val="single" w:color="000000" w:sz="4" w:space="0"/>
              <w:right w:val="single" w:color="000000" w:sz="4" w:space="0"/>
            </w:tcBorders>
            <w:shd w:val="clear" w:color="auto" w:fill="FFFFFF"/>
            <w:tcMar>
              <w:top w:w="0" w:type="dxa"/>
              <w:left w:w="57" w:type="dxa"/>
              <w:bottom w:w="0" w:type="dxa"/>
              <w:right w:w="57" w:type="dxa"/>
            </w:tcMar>
            <w:vAlign w:val="center"/>
          </w:tcPr>
          <w:p w14:paraId="537CAA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1．口服固体制剂：以药监部门审批的通用名下最大规格为锚点，最小制剂单位价格不高于0.2元的，可不适用上述差价比价规则，其他规格的豁免标准按含量差比价计算</w:t>
            </w:r>
            <w:r>
              <w:rPr>
                <w:rFonts w:hint="eastAsia" w:eastAsia="宋体" w:cs="Times New Roman"/>
                <w:b w:val="0"/>
                <w:bCs w:val="0"/>
                <w:i w:val="0"/>
                <w:iCs w:val="0"/>
                <w:color w:val="000000"/>
                <w:kern w:val="0"/>
                <w:sz w:val="22"/>
                <w:szCs w:val="22"/>
                <w:lang w:val="en-US" w:eastAsia="zh-CN" w:bidi="ar"/>
              </w:rPr>
              <w:t>；</w:t>
            </w:r>
          </w:p>
          <w:p w14:paraId="575D98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2．注射剂：小水针最小制剂单位挂网价格不高于1元、大输液最小制剂单位挂网价格不高于2元的，可不适用上述差价比价规则</w:t>
            </w:r>
            <w:r>
              <w:rPr>
                <w:rFonts w:hint="eastAsia" w:eastAsia="宋体" w:cs="Times New Roman"/>
                <w:b w:val="0"/>
                <w:bCs w:val="0"/>
                <w:i w:val="0"/>
                <w:iCs w:val="0"/>
                <w:color w:val="000000"/>
                <w:kern w:val="0"/>
                <w:sz w:val="22"/>
                <w:szCs w:val="22"/>
                <w:lang w:val="en-US" w:eastAsia="zh-CN" w:bidi="ar"/>
              </w:rPr>
              <w:t>。</w:t>
            </w:r>
          </w:p>
        </w:tc>
        <w:tc>
          <w:tcPr>
            <w:tcW w:w="877" w:type="pct"/>
            <w:gridSpan w:val="2"/>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5B74D48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日均治疗费用不高于5元的，可不适用上述差价比价规则</w:t>
            </w:r>
          </w:p>
        </w:tc>
        <w:tc>
          <w:tcPr>
            <w:tcW w:w="905" w:type="pct"/>
            <w:gridSpan w:val="2"/>
            <w:tcBorders>
              <w:top w:val="single" w:color="000000" w:sz="4" w:space="0"/>
              <w:left w:val="nil"/>
              <w:bottom w:val="single" w:color="000000" w:sz="4" w:space="0"/>
              <w:right w:val="single" w:color="000000" w:sz="4" w:space="0"/>
            </w:tcBorders>
            <w:shd w:val="clear" w:color="auto" w:fill="auto"/>
            <w:tcMar>
              <w:top w:w="0" w:type="dxa"/>
              <w:left w:w="57" w:type="dxa"/>
              <w:bottom w:w="0" w:type="dxa"/>
              <w:right w:w="57" w:type="dxa"/>
            </w:tcMar>
            <w:vAlign w:val="center"/>
          </w:tcPr>
          <w:p w14:paraId="68FD1A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0" w:lineRule="exact"/>
              <w:ind w:left="0" w:leftChars="0" w:right="0"/>
              <w:jc w:val="both"/>
              <w:textAlignment w:val="center"/>
              <w:rPr>
                <w:rFonts w:hint="default" w:ascii="Times New Roman" w:hAnsi="Times New Roman" w:eastAsia="宋体" w:cs="Times New Roman"/>
                <w:b w:val="0"/>
                <w:bCs w:val="0"/>
                <w:i w:val="0"/>
                <w:iCs w:val="0"/>
                <w:color w:val="000000"/>
                <w:kern w:val="0"/>
                <w:sz w:val="22"/>
                <w:szCs w:val="22"/>
              </w:rPr>
            </w:pPr>
            <w:r>
              <w:rPr>
                <w:rFonts w:hint="default" w:ascii="Times New Roman" w:hAnsi="Times New Roman" w:eastAsia="宋体" w:cs="Times New Roman"/>
                <w:b w:val="0"/>
                <w:bCs w:val="0"/>
                <w:i w:val="0"/>
                <w:iCs w:val="0"/>
                <w:color w:val="000000"/>
                <w:kern w:val="0"/>
                <w:sz w:val="22"/>
                <w:szCs w:val="22"/>
                <w:lang w:val="en-US" w:eastAsia="zh-CN" w:bidi="ar"/>
              </w:rPr>
              <w:t>挂网企业不高于2家的，可不适用上述差价比价规则</w:t>
            </w:r>
          </w:p>
        </w:tc>
      </w:tr>
    </w:tbl>
    <w:p w14:paraId="598D6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rPr>
          <w:rFonts w:hint="eastAsia" w:ascii="仿宋_GB2312" w:eastAsia="仿宋_GB2312" w:cs="仿宋_GB2312"/>
          <w:kern w:val="0"/>
          <w:sz w:val="32"/>
          <w:szCs w:val="32"/>
        </w:rPr>
      </w:pPr>
      <w:r>
        <w:rPr>
          <w:rFonts w:hint="eastAsia" w:ascii="方正楷体_GBK" w:hAnsi="方正楷体_GBK" w:eastAsia="方正楷体_GBK" w:cs="方正楷体_GBK"/>
          <w:b w:val="0"/>
          <w:bCs w:val="0"/>
          <w:kern w:val="2"/>
          <w:sz w:val="32"/>
          <w:szCs w:val="32"/>
          <w:lang w:val="en-US" w:eastAsia="zh-CN" w:bidi="ar"/>
        </w:rPr>
        <w:t>（三）完善风险管理</w:t>
      </w:r>
      <w:r>
        <w:rPr>
          <w:rFonts w:hint="eastAsia" w:ascii="方正楷体_GBK" w:hAnsi="方正楷体_GBK" w:eastAsia="方正楷体_GBK" w:cs="方正楷体_GBK"/>
          <w:b w:val="0"/>
          <w:bCs w:val="0"/>
          <w:kern w:val="0"/>
          <w:sz w:val="32"/>
          <w:szCs w:val="32"/>
          <w:lang w:val="en-US" w:eastAsia="zh-CN" w:bidi="ar"/>
        </w:rPr>
        <w:t>。</w:t>
      </w:r>
      <w:r>
        <w:rPr>
          <w:rFonts w:hint="eastAsia" w:ascii="仿宋_GB2312" w:hAnsi="Calibri" w:eastAsia="仿宋_GB2312" w:cs="仿宋_GB2312"/>
          <w:kern w:val="0"/>
          <w:sz w:val="32"/>
          <w:szCs w:val="32"/>
          <w:lang w:val="en-US" w:eastAsia="zh-CN" w:bidi="ar"/>
        </w:rPr>
        <w:t>纳入价格风险处置的药品，应按不高于企业承诺价重新挂网。同通用名、同厂牌其他剂型包装规格的，以承诺价为基准，按照《药品差比价规则》确定挂网价格；同通用名、其他品牌，按不高于价格风险防范的黄标价格重新确定挂网价格。健全医药价格风险处置机制，约谈督促企业主动规范价格行为，降低价格水平。对约谈后企业承诺整改价格高于黄标价格的药品，平台将其背景显示为黄色，弹窗提示“同通用名药品有其他较低价产品”</w:t>
      </w:r>
      <w:r>
        <w:rPr>
          <w:rFonts w:hint="eastAsia" w:ascii="仿宋_GB2312" w:hAnsi="Calibri" w:eastAsia="仿宋_GB2312" w:cs="仿宋_GB2312"/>
          <w:color w:val="auto"/>
          <w:kern w:val="0"/>
          <w:sz w:val="32"/>
          <w:szCs w:val="32"/>
          <w:lang w:val="en-US" w:eastAsia="zh-CN" w:bidi="ar"/>
        </w:rPr>
        <w:t>；</w:t>
      </w:r>
      <w:r>
        <w:rPr>
          <w:rFonts w:hint="eastAsia" w:ascii="仿宋_GB2312" w:hAnsi="Calibri" w:eastAsia="仿宋_GB2312" w:cs="仿宋_GB2312"/>
          <w:kern w:val="0"/>
          <w:sz w:val="32"/>
          <w:szCs w:val="32"/>
          <w:lang w:val="en-US" w:eastAsia="zh-CN" w:bidi="ar"/>
        </w:rPr>
        <w:t>对约谈后企业承诺整改价格高于红标价格的药品，平台将其背景显示为红色，弹窗提示“该企业本药品存在价格风险，同通用名药品有其他企业低价产品，请慎重采购”。</w:t>
      </w:r>
    </w:p>
    <w:p w14:paraId="5C71D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黑体_GBK" w:cs="Times New Roman"/>
          <w:kern w:val="2"/>
          <w:sz w:val="32"/>
          <w:szCs w:val="32"/>
        </w:rPr>
      </w:pPr>
      <w:r>
        <w:rPr>
          <w:rFonts w:hint="eastAsia" w:ascii="黑体" w:hAnsi="宋体" w:eastAsia="方正黑体_GBK" w:cs="黑体"/>
          <w:kern w:val="2"/>
          <w:sz w:val="32"/>
          <w:szCs w:val="32"/>
          <w:lang w:val="en-US" w:eastAsia="zh-CN" w:bidi="ar"/>
        </w:rPr>
        <w:t>四、规范药品采购行为</w:t>
      </w:r>
    </w:p>
    <w:p w14:paraId="5AAB14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eastAsia" w:ascii="Times New Roman" w:hAnsi="Times New Roman"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（一）挂网药品应采尽采。</w:t>
      </w:r>
      <w:r>
        <w:rPr>
          <w:rFonts w:hint="eastAsia" w:ascii="方正仿宋_GBK" w:hAnsi="方正仿宋_GBK" w:eastAsia="方正仿宋_GBK" w:cs="方正仿宋_GBK"/>
          <w:kern w:val="2"/>
          <w:sz w:val="32"/>
          <w:szCs w:val="32"/>
          <w:lang w:val="en-US" w:eastAsia="zh-CN" w:bidi="ar"/>
        </w:rPr>
        <w:t>公立医疗机构使用的药品均应通过平台进行采购（医疗用毒性药品、放射性药品、国家免疫规划疫苗等特殊药品，按国家现行规定采购），做到</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应采尽采</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。要</w:t>
      </w:r>
      <w:r>
        <w:rPr>
          <w:rFonts w:hint="default" w:ascii="方正仿宋_GB2312" w:hAnsi="方正仿宋_GB2312" w:eastAsia="方正仿宋_GB2312" w:cs="方正仿宋_GB2312"/>
          <w:b w:val="0"/>
          <w:bCs w:val="0"/>
          <w:kern w:val="2"/>
          <w:sz w:val="32"/>
          <w:szCs w:val="32"/>
          <w:lang w:val="en-US" w:eastAsia="zh-CN" w:bidi="ar"/>
        </w:rPr>
        <w:t>严格执行平台采购、配送、入库的全流程，</w:t>
      </w:r>
      <w:r>
        <w:rPr>
          <w:rFonts w:hint="eastAsia" w:ascii="方正仿宋_GBK" w:hAnsi="方正仿宋_GBK" w:eastAsia="方正仿宋_GBK" w:cs="方正仿宋_GBK"/>
          <w:kern w:val="2"/>
          <w:sz w:val="32"/>
          <w:szCs w:val="32"/>
          <w:lang w:val="en-US" w:eastAsia="zh-CN" w:bidi="ar"/>
        </w:rPr>
        <w:t>落实“带码采购”有关要求，按订单明细收货，做到药品名称、剂型、规格、生产厂商、购货数量、药品价格与平台采购订单信息一致，杜绝虚假、不实订单。</w:t>
      </w:r>
    </w:p>
    <w:p w14:paraId="330A1C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eastAsia" w:ascii="Times New Roman" w:hAnsi="Times New Roman" w:eastAsia="方正仿宋_GBK" w:cs="Times New Roman"/>
          <w:kern w:val="2"/>
          <w:sz w:val="32"/>
          <w:szCs w:val="32"/>
        </w:rPr>
      </w:pPr>
      <w:r>
        <w:rPr>
          <w:rFonts w:hint="eastAsia" w:ascii="楷体" w:hAnsi="楷体" w:eastAsia="方正楷体_GBK" w:cs="楷体"/>
          <w:b w:val="0"/>
          <w:bCs w:val="0"/>
          <w:kern w:val="2"/>
          <w:sz w:val="32"/>
          <w:szCs w:val="32"/>
          <w:lang w:val="en-US" w:eastAsia="zh-CN" w:bidi="ar"/>
        </w:rPr>
        <w:t>（二）备案采购价量双控。</w:t>
      </w:r>
      <w:r>
        <w:rPr>
          <w:rFonts w:hint="eastAsia" w:ascii="方正仿宋_GBK" w:hAnsi="方正仿宋_GBK" w:eastAsia="方正仿宋_GBK" w:cs="方正仿宋_GBK"/>
          <w:kern w:val="2"/>
          <w:sz w:val="32"/>
          <w:szCs w:val="32"/>
          <w:lang w:val="en-US" w:eastAsia="zh-CN" w:bidi="ar"/>
        </w:rPr>
        <w:t>为保障患者生命健康权益，对临床必需或急需的未挂网药品，医疗机构可备案采购，具体由</w:t>
      </w:r>
      <w:r>
        <w:rPr>
          <w:rFonts w:hint="eastAsia" w:ascii="方正仿宋_GBK" w:hAnsi="方正仿宋_GBK" w:cs="方正仿宋_GBK"/>
          <w:kern w:val="2"/>
          <w:sz w:val="32"/>
          <w:szCs w:val="32"/>
          <w:lang w:val="en-US" w:eastAsia="zh-CN" w:bidi="ar"/>
        </w:rPr>
        <w:t>其</w:t>
      </w:r>
      <w:r>
        <w:rPr>
          <w:rFonts w:hint="eastAsia" w:ascii="方正仿宋_GBK" w:hAnsi="方正仿宋_GBK" w:eastAsia="方正仿宋_GBK" w:cs="方正仿宋_GBK"/>
          <w:kern w:val="2"/>
          <w:sz w:val="32"/>
          <w:szCs w:val="32"/>
          <w:lang w:val="en-US" w:eastAsia="zh-CN" w:bidi="ar"/>
        </w:rPr>
        <w:t>与供货企业自主议定采购价格，并于</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个工作日内在平台备案采购数量和采购价格。备案采购应作为临时性措施，从严把握品种规模、过渡时间和议价医院的代表性，实行“一药一备案”、“谁采购、谁负责”的原则。医疗机构备案采购药品金额应不超过本年度药品采购总金额的</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，且品种数量应不超过其常备药品数量的</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（协议期内的医保目录谈判药品除外）。</w:t>
      </w:r>
    </w:p>
    <w:p w14:paraId="58822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楷体" w:hAnsi="楷体" w:eastAsia="方正楷体_GBK" w:cs="楷体"/>
          <w:b w:val="0"/>
          <w:bCs w:val="0"/>
          <w:kern w:val="2"/>
          <w:sz w:val="32"/>
          <w:szCs w:val="32"/>
          <w:lang w:val="en-US" w:eastAsia="zh-CN" w:bidi="ar"/>
        </w:rPr>
        <w:t>（三）采购价格如实登记。</w:t>
      </w:r>
      <w:r>
        <w:rPr>
          <w:rFonts w:hint="eastAsia" w:ascii="方正仿宋_GBK" w:hAnsi="方正仿宋_GBK" w:eastAsia="方正仿宋_GBK" w:cs="方正仿宋_GBK"/>
          <w:kern w:val="2"/>
          <w:sz w:val="32"/>
          <w:szCs w:val="32"/>
          <w:lang w:val="en-US" w:eastAsia="zh-CN" w:bidi="ar"/>
        </w:rPr>
        <w:t>药品挂网价格为医疗机构采购最高价，医疗机构实际采购价格低于挂网价格的，应按实际采购价在平台进行登记。登记的医院实际采购价不在平台对外展示，不直接替代挂网价格。其中，集中带量采购中选（含续约）药品以及协议期内的医保目录谈判药品、竞价药品，医疗机构按挂网价格采购，不得再进行议价或变相议价。</w:t>
      </w:r>
    </w:p>
    <w:p w14:paraId="2FE5D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五、健全完善退出机制</w:t>
      </w:r>
    </w:p>
    <w:p w14:paraId="7051A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（一）符合下列情形之一，按程序暂停药品挂网：</w:t>
      </w:r>
      <w:r>
        <w:rPr>
          <w:rFonts w:hint="default" w:ascii="Times New Roman" w:hAnsi="Times New Roman" w:eastAsia="方正仿宋_GBK" w:cs="Times New Roman"/>
          <w:kern w:val="2"/>
          <w:sz w:val="32"/>
          <w:szCs w:val="32"/>
          <w:lang w:val="en-US" w:eastAsia="zh-CN" w:bidi="ar"/>
        </w:rPr>
        <w:t xml:space="preserve"> </w:t>
      </w:r>
    </w:p>
    <w:p w14:paraId="7ABA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．存在专利权、经营代理权纠纷等需暂停情形的；</w:t>
      </w:r>
    </w:p>
    <w:p w14:paraId="4EE39F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．来信来访、投诉举报问题突出，存在较高价格风险，需进一步调查核实的；</w:t>
      </w:r>
    </w:p>
    <w:p w14:paraId="4E9958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eastAsia"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在市场竞争充分、供应稳定的情况下，价格风险品种超参照价格</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倍的；</w:t>
      </w:r>
    </w:p>
    <w:p w14:paraId="16D44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未按要求如实申报挂网相关材料以及未及时联动外省最新、最低有效挂网价格的；</w:t>
      </w:r>
    </w:p>
    <w:p w14:paraId="34E8CB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．符合暂停挂网条件的其他情形。</w:t>
      </w:r>
    </w:p>
    <w:p w14:paraId="2872C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暂停挂网交易的药品，原挂网价格信息保留。企业申报价格不高于原挂网价格的，可直接恢复挂网；存在专利权、经营代理权纠纷的，纠纷解除后可恢复挂网；存在价格风险的，待价格风险解除后可恢复挂网。</w:t>
      </w:r>
    </w:p>
    <w:p w14:paraId="2168C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（三）符合下列情形之一，按程序撤销药品挂网：</w:t>
      </w:r>
      <w:r>
        <w:rPr>
          <w:rFonts w:hint="default" w:ascii="Times New Roman" w:hAnsi="Times New Roman" w:eastAsia="方正仿宋_GBK" w:cs="Times New Roman"/>
          <w:kern w:val="2"/>
          <w:sz w:val="32"/>
          <w:szCs w:val="32"/>
          <w:lang w:val="en-US" w:eastAsia="zh-CN" w:bidi="ar"/>
        </w:rPr>
        <w:t xml:space="preserve"> </w:t>
      </w:r>
    </w:p>
    <w:p w14:paraId="05B3D8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．因生产许可证或药品注册证注销，或药品在中国境内不再销售的；</w:t>
      </w:r>
    </w:p>
    <w:p w14:paraId="2A3A9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eastAsia"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医药购销行为违反医药价格和招采信用评价制度有关规定的；</w:t>
      </w:r>
    </w:p>
    <w:p w14:paraId="66115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eastAsia" w:ascii="Times New Roman" w:hAnsi="Times New Roman" w:eastAsia="方正仿宋_GBK" w:cs="Times New Roman"/>
          <w:color w:val="FF0000"/>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Times New Roman" w:hAnsi="Times New Roman"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无实际交易满</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年以上的；</w:t>
      </w:r>
    </w:p>
    <w:p w14:paraId="12354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符合撤销挂网的其他情形。</w:t>
      </w:r>
    </w:p>
    <w:p w14:paraId="3B82D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（四）撤销挂网的药品，</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年内不允许该药品重新挂网。企业主动申请撤销挂网的，该产品同通用名下所有剂型、规格及包装，</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年内不接受挂网申请，且不得参与我省药品集中带量采购，撤网药品的原产品信息、挂网价格在平台保留并供国家和各省查询。</w:t>
      </w:r>
    </w:p>
    <w:p w14:paraId="06E18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（五）药品撤网后重新挂网的，按本规则有关规定重新申报，且申报价格不得高于平台原挂网价格。</w:t>
      </w:r>
    </w:p>
    <w:p w14:paraId="69EDFF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仿宋_GB2312" w:cs="Times New Roman"/>
          <w:kern w:val="2"/>
          <w:sz w:val="32"/>
          <w:szCs w:val="32"/>
        </w:rPr>
      </w:pPr>
      <w:r>
        <w:rPr>
          <w:rFonts w:hint="eastAsia" w:ascii="方正黑体_GBK" w:hAnsi="方正黑体_GBK" w:eastAsia="方正黑体_GBK" w:cs="方正黑体_GBK"/>
          <w:kern w:val="2"/>
          <w:sz w:val="32"/>
          <w:szCs w:val="32"/>
          <w:lang w:val="en-US" w:eastAsia="zh-CN" w:bidi="ar"/>
        </w:rPr>
        <w:t>六、压实各方监管责任</w:t>
      </w:r>
    </w:p>
    <w:p w14:paraId="65A38ED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baseline"/>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一）省医疗保障局负责全省药品挂网采购政策制定工作，会同有关部门综合考虑临床用药安全、医保基金承受能力、药品采购情况等，合理规范医疗机构药品采购及使用行为。省医药价格和集中采购中心应强化药品价格挂网业务的内控管理，稳妥有序做好药品挂网、分类采购、价格联动及日常监测等工作，用好信息披露、公开问询等政策工具，排除价格风险。</w:t>
      </w:r>
    </w:p>
    <w:p w14:paraId="09A8A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各级医保部门要加强对所辖医疗机构药品采购行为监管，及时通报网上集中采购情况，规范采购价格、采购比例，保障临床使用。要将医疗机构的采购行为纳入医保定点协议管理和医保基金检查范围，对不按规定采购的医疗机构进行相应惩戒。</w:t>
      </w:r>
    </w:p>
    <w:p w14:paraId="112EF1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kern w:val="2"/>
          <w:sz w:val="32"/>
          <w:szCs w:val="32"/>
          <w:lang w:val="en-US" w:eastAsia="zh-CN" w:bidi="ar"/>
        </w:rPr>
        <w:t>（三）各医疗机构作为药品采购和使用的主体，应根据临床用药需求，优先选择国家基本药物、集中带量采购药品、国家基本医疗保险药品目录药品。</w:t>
      </w:r>
      <w:r>
        <w:rPr>
          <w:rFonts w:hint="eastAsia" w:ascii="方正仿宋_GBK" w:hAnsi="方正仿宋_GBK" w:eastAsia="方正仿宋_GBK" w:cs="方正仿宋_GBK"/>
          <w:color w:val="000000"/>
          <w:kern w:val="0"/>
          <w:sz w:val="32"/>
          <w:szCs w:val="32"/>
          <w:lang w:val="en-US" w:eastAsia="zh-CN" w:bidi="ar"/>
        </w:rPr>
        <w:t>要在平台及时录入药品采购信息并确保信息的真实、准确、完整。要严格落实分类采购有关规定，坚持公平公开、阳光采购，严禁平台之外交易。</w:t>
      </w:r>
    </w:p>
    <w:p w14:paraId="6840C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各企业要如实填报申请挂网材料，及时申报联动价格，确保药品价格公平诚信、透明均衡。要严格执行医药价格和招采信用评价制度有关要求，建立健全内部合规审查制度，强化人员管理，杜绝失信行为，遵章守制，诚信经营。</w:t>
      </w:r>
    </w:p>
    <w:p w14:paraId="319BC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七、其他</w:t>
      </w:r>
    </w:p>
    <w:p w14:paraId="3CEC5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（一）本规则自</w:t>
      </w:r>
      <w:r>
        <w:rPr>
          <w:rFonts w:hint="default" w:ascii="Times New Roman" w:hAnsi="Times New Roman" w:eastAsia="方正仿宋_GBK" w:cs="Times New Roman"/>
          <w:kern w:val="2"/>
          <w:sz w:val="32"/>
          <w:szCs w:val="32"/>
          <w:lang w:val="en-US" w:eastAsia="zh-CN" w:bidi="ar"/>
        </w:rPr>
        <w:t>2025</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16</w:t>
      </w:r>
      <w:r>
        <w:rPr>
          <w:rFonts w:hint="eastAsia" w:ascii="方正仿宋_GBK" w:hAnsi="方正仿宋_GBK" w:eastAsia="方正仿宋_GBK" w:cs="方正仿宋_GBK"/>
          <w:kern w:val="2"/>
          <w:sz w:val="32"/>
          <w:szCs w:val="32"/>
          <w:lang w:val="en-US" w:eastAsia="zh-CN" w:bidi="ar"/>
        </w:rPr>
        <w:t>日起执行，原有政策规定与本规则不一致的，以本规则为准。后期如遇国家政策调整，按国家最新规定执行。</w:t>
      </w:r>
    </w:p>
    <w:p w14:paraId="36970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pPr>
      <w:r>
        <w:rPr>
          <w:rFonts w:hint="eastAsia" w:ascii="方正仿宋_GBK" w:hAnsi="方正仿宋_GBK" w:eastAsia="方正仿宋_GBK" w:cs="方正仿宋_GBK"/>
          <w:kern w:val="2"/>
          <w:sz w:val="32"/>
          <w:szCs w:val="32"/>
          <w:lang w:val="en-US" w:eastAsia="zh-CN" w:bidi="ar"/>
        </w:rPr>
        <w:t>（二）本规则由安徽省医疗保障局负责解释。</w:t>
      </w:r>
    </w:p>
    <w:p w14:paraId="3FC67F39">
      <w:pPr>
        <w:keepNext w:val="0"/>
        <w:keepLines w:val="0"/>
        <w:pageBreakBefore w:val="0"/>
        <w:kinsoku/>
        <w:overflowPunct/>
        <w:topLinePunct w:val="0"/>
        <w:autoSpaceDN/>
        <w:bidi w:val="0"/>
        <w:adjustRightInd/>
        <w:spacing w:line="590" w:lineRule="exact"/>
      </w:pPr>
    </w:p>
    <w:p w14:paraId="502B4089">
      <w:pPr>
        <w:keepNext w:val="0"/>
        <w:keepLines w:val="0"/>
        <w:pageBreakBefore w:val="0"/>
        <w:kinsoku/>
        <w:overflowPunct/>
        <w:topLinePunct w:val="0"/>
        <w:autoSpaceDN/>
        <w:bidi w:val="0"/>
        <w:adjustRightInd/>
        <w:spacing w:line="590" w:lineRule="exact"/>
      </w:pPr>
    </w:p>
    <w:p w14:paraId="52A14839">
      <w:pPr>
        <w:keepNext w:val="0"/>
        <w:keepLines w:val="0"/>
        <w:pageBreakBefore w:val="0"/>
        <w:kinsoku/>
        <w:overflowPunct/>
        <w:topLinePunct w:val="0"/>
        <w:autoSpaceDN/>
        <w:bidi w:val="0"/>
        <w:adjustRightInd/>
        <w:spacing w:line="590" w:lineRule="exact"/>
      </w:pPr>
    </w:p>
    <w:p w14:paraId="61E8D254">
      <w:pPr>
        <w:keepNext w:val="0"/>
        <w:keepLines w:val="0"/>
        <w:pageBreakBefore w:val="0"/>
        <w:kinsoku/>
        <w:overflowPunct/>
        <w:topLinePunct w:val="0"/>
        <w:autoSpaceDN/>
        <w:bidi w:val="0"/>
        <w:adjustRightInd/>
        <w:spacing w:line="590" w:lineRule="exact"/>
      </w:pPr>
    </w:p>
    <w:p w14:paraId="38DE38DB">
      <w:pPr>
        <w:keepNext w:val="0"/>
        <w:keepLines w:val="0"/>
        <w:pageBreakBefore w:val="0"/>
        <w:kinsoku/>
        <w:overflowPunct/>
        <w:topLinePunct w:val="0"/>
        <w:autoSpaceDN/>
        <w:bidi w:val="0"/>
        <w:adjustRightInd/>
        <w:spacing w:line="590" w:lineRule="exact"/>
      </w:pPr>
    </w:p>
    <w:p w14:paraId="35DA1ACF">
      <w:pPr>
        <w:keepNext w:val="0"/>
        <w:keepLines w:val="0"/>
        <w:pageBreakBefore w:val="0"/>
        <w:kinsoku/>
        <w:overflowPunct/>
        <w:topLinePunct w:val="0"/>
        <w:autoSpaceDN/>
        <w:bidi w:val="0"/>
        <w:adjustRightInd/>
        <w:spacing w:line="590" w:lineRule="exact"/>
      </w:pPr>
    </w:p>
    <w:sectPr>
      <w:headerReference r:id="rId3" w:type="default"/>
      <w:footerReference r:id="rId5" w:type="default"/>
      <w:headerReference r:id="rId4" w:type="even"/>
      <w:footerReference r:id="rId6" w:type="even"/>
      <w:pgSz w:w="11906" w:h="16838"/>
      <w:pgMar w:top="1871" w:right="1474" w:bottom="1587" w:left="1474" w:header="851" w:footer="1134" w:gutter="0"/>
      <w:cols w:space="0" w:num="1"/>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F9E07A-D2BE-4950-8156-C1C86E213D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E3A676-DD1C-488B-9689-8860C22E7A3B}"/>
  </w:font>
  <w:font w:name="方正仿宋_GBK">
    <w:panose1 w:val="02000000000000000000"/>
    <w:charset w:val="86"/>
    <w:family w:val="auto"/>
    <w:pitch w:val="default"/>
    <w:sig w:usb0="A00002BF" w:usb1="38CF7CFA" w:usb2="00082016" w:usb3="00000000" w:csb0="00040001" w:csb1="00000000"/>
    <w:embedRegular r:id="rId3" w:fontKey="{9ABC52ED-5BF9-46CE-87A5-BEF1EEE360C3}"/>
  </w:font>
  <w:font w:name="方正小标宋_GBK">
    <w:panose1 w:val="03000509000000000000"/>
    <w:charset w:val="86"/>
    <w:family w:val="auto"/>
    <w:pitch w:val="default"/>
    <w:sig w:usb0="00000001" w:usb1="080E0000" w:usb2="00000000" w:usb3="00000000" w:csb0="00040000" w:csb1="00000000"/>
    <w:embedRegular r:id="rId4" w:fontKey="{F0494F40-B803-499C-AAAF-6678FA9A7CC4}"/>
  </w:font>
  <w:font w:name="仿宋_GB2312">
    <w:panose1 w:val="02010609030101010101"/>
    <w:charset w:val="86"/>
    <w:family w:val="auto"/>
    <w:pitch w:val="default"/>
    <w:sig w:usb0="00000001" w:usb1="080E0000" w:usb2="00000000" w:usb3="00000000" w:csb0="00040000" w:csb1="00000000"/>
    <w:embedRegular r:id="rId5" w:fontKey="{D847B7F6-240B-4B92-BB7C-463DA02EDF72}"/>
  </w:font>
  <w:font w:name="方正黑体_GBK">
    <w:panose1 w:val="02010600010101010101"/>
    <w:charset w:val="86"/>
    <w:family w:val="auto"/>
    <w:pitch w:val="default"/>
    <w:sig w:usb0="00000001" w:usb1="080E0000" w:usb2="00000000" w:usb3="00000000" w:csb0="00040000" w:csb1="00000000"/>
    <w:embedRegular r:id="rId6" w:fontKey="{98B31515-1E37-4EA3-9844-93AD48D18301}"/>
  </w:font>
  <w:font w:name="方正楷体_GBK">
    <w:panose1 w:val="02000000000000000000"/>
    <w:charset w:val="86"/>
    <w:family w:val="auto"/>
    <w:pitch w:val="default"/>
    <w:sig w:usb0="800002BF" w:usb1="38CF7CFA" w:usb2="00000016" w:usb3="00000000" w:csb0="00040000" w:csb1="00000000"/>
    <w:embedRegular r:id="rId7" w:fontKey="{80834CED-25DC-4F14-8C0A-E6D5F16D48CC}"/>
  </w:font>
  <w:font w:name="仿宋">
    <w:panose1 w:val="02010609060101010101"/>
    <w:charset w:val="86"/>
    <w:family w:val="auto"/>
    <w:pitch w:val="default"/>
    <w:sig w:usb0="800002BF" w:usb1="38CF7CFA" w:usb2="00000016" w:usb3="00000000" w:csb0="00040001" w:csb1="00000000"/>
    <w:embedRegular r:id="rId8" w:fontKey="{FB525580-E32B-4758-8110-400E3B9796C6}"/>
  </w:font>
  <w:font w:name="楷体">
    <w:panose1 w:val="02010609060101010101"/>
    <w:charset w:val="86"/>
    <w:family w:val="auto"/>
    <w:pitch w:val="default"/>
    <w:sig w:usb0="800002BF" w:usb1="38CF7CFA" w:usb2="00000016" w:usb3="00000000" w:csb0="00040001" w:csb1="00000000"/>
    <w:embedRegular r:id="rId9" w:fontKey="{D40B4C37-BAEF-4202-8594-08A149A03790}"/>
  </w:font>
  <w:font w:name="方正仿宋_GB2312">
    <w:panose1 w:val="02000000000000000000"/>
    <w:charset w:val="86"/>
    <w:family w:val="auto"/>
    <w:pitch w:val="default"/>
    <w:sig w:usb0="A00002BF" w:usb1="184F6CFA" w:usb2="00000012" w:usb3="00000000" w:csb0="00040001" w:csb1="00000000"/>
    <w:embedRegular r:id="rId10" w:fontKey="{C3CB844D-7FFF-427F-B1A0-D62027541294}"/>
  </w:font>
  <w:font w:name="方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方正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楷体GBK">
    <w:altName w:val="楷体_GB2312"/>
    <w:panose1 w:val="00000000000000000000"/>
    <w:charset w:val="00"/>
    <w:family w:val="auto"/>
    <w:pitch w:val="default"/>
    <w:sig w:usb0="00000000" w:usb1="00000000" w:usb2="00000000" w:usb3="00000000" w:csb0="0000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3E20">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27DF0">
                          <w:pPr>
                            <w:pStyle w:val="3"/>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2336;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UcrUAAAABw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14:paraId="29227DF0">
                    <w:pPr>
                      <w:pStyle w:val="3"/>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p w14:paraId="6B5818E8">
    <w:pPr>
      <w:pBdr>
        <w:top w:val="none" w:color="auto" w:sz="0" w:space="1"/>
        <w:left w:val="none" w:color="auto" w:sz="0" w:space="4"/>
        <w:bottom w:val="none" w:color="auto" w:sz="0" w:space="1"/>
        <w:right w:val="none" w:color="auto" w:sz="0" w:space="4"/>
      </w:pBdr>
      <w:snapToGrid w:val="0"/>
      <w:spacing w:line="100" w:lineRule="exact"/>
      <w:rPr>
        <w:sz w:val="18"/>
      </w:rPr>
    </w:pPr>
  </w:p>
  <w:p w14:paraId="486320A9">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519D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4F272DDC">
          <w:pPr>
            <w:snapToGrid w:val="0"/>
            <w:rPr>
              <w:sz w:val="18"/>
            </w:rPr>
          </w:pPr>
        </w:p>
      </w:tc>
    </w:tr>
  </w:tbl>
  <w:p w14:paraId="62552699">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8255</wp:posOffset>
              </wp:positionV>
              <wp:extent cx="2739390" cy="320040"/>
              <wp:effectExtent l="0" t="0" r="0" b="0"/>
              <wp:wrapNone/>
              <wp:docPr id="5" name="文本框 5"/>
              <wp:cNvGraphicFramePr/>
              <a:graphic xmlns:a="http://schemas.openxmlformats.org/drawingml/2006/main">
                <a:graphicData uri="http://schemas.microsoft.com/office/word/2010/wordprocessingShape">
                  <wps:wsp>
                    <wps:cNvSpPr txBox="1"/>
                    <wps:spPr>
                      <a:xfrm>
                        <a:off x="1130935" y="77724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F9B6A">
                          <w:pPr>
                            <w:snapToGrid w:val="0"/>
                            <w:jc w:val="cente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2pt;width:215.7pt;z-index:251661312;mso-width-relative:page;mso-height-relative:page;" filled="f" stroked="f" coordsize="21600,21600"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CF69PaAAAACAEAAA8AAAAA&#10;AAAAAQAgAAAAIgAAAGRycy9kb3ducmV2LnhtbFBLAQIUABQAAAAIAIdO4kBsulyoSwIAAH8EAAAO&#10;AAAAAAAAAAEAIAAAACkBAABkcnMvZTJvRG9jLnhtbFBLBQYAAAAABgAGAFkBAADmBQAAAAA=&#10;">
              <v:fill on="f" focussize="0,0"/>
              <v:stroke on="f" weight="0.5pt"/>
              <v:imagedata o:title=""/>
              <o:lock v:ext="edit" aspectratio="f"/>
              <v:textbox>
                <w:txbxContent>
                  <w:p w14:paraId="49FF9B6A">
                    <w:pPr>
                      <w:snapToGrid w:val="0"/>
                      <w:jc w:val="center"/>
                    </w:pPr>
                    <w:r>
                      <w:rPr>
                        <w:rFonts w:hint="eastAsia" w:asciiTheme="minorEastAsia" w:hAnsiTheme="minorEastAsia" w:cstheme="minorEastAsia"/>
                        <w:sz w:val="28"/>
                        <w:szCs w:val="28"/>
                      </w:rPr>
                      <w:t>安徽省医疗保障局发布</w:t>
                    </w:r>
                  </w:p>
                </w:txbxContent>
              </v:textbox>
            </v:shape>
          </w:pict>
        </mc:Fallback>
      </mc:AlternateContent>
    </w:r>
  </w:p>
  <w:p w14:paraId="009D1DE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07C">
    <w:pPr>
      <w:pBdr>
        <w:top w:val="none" w:color="auto" w:sz="0" w:space="1"/>
        <w:left w:val="none" w:color="auto" w:sz="0" w:space="4"/>
        <w:bottom w:val="none" w:color="auto" w:sz="0" w:space="1"/>
        <w:right w:val="none" w:color="auto" w:sz="0" w:space="4"/>
      </w:pBdr>
      <w:snapToGrid w:val="0"/>
      <w:spacing w:line="100" w:lineRule="exac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536F0">
                          <w:pPr>
                            <w:pStyle w:val="3"/>
                            <w:rPr>
                              <w:rFonts w:ascii="Times New Roman" w:hAnsi="Times New Roman" w:cs="Times New Roman"/>
                              <w:sz w:val="24"/>
                            </w:rPr>
                          </w:pPr>
                          <w:r>
                            <w:rPr>
                              <w:rFonts w:hint="eastAsia" w:ascii="Times New Roman" w:hAnsi="Times New Roman" w:cs="Times New Roman"/>
                              <w:sz w:val="24"/>
                            </w:rPr>
                            <w:t>—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4384;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xzxes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jB5&#10;loWt3lkeoaM83q6OAXImlaMonRLoTjxg9lKf+j2Jw/3nOUU9/j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sc8XrDECAABjBAAADgAAAAAAAAABACAAAAAjAQAAZHJzL2Uyb0RvYy54bWxQ&#10;SwUGAAAAAAYABgBZAQAAxgUAAAAA&#10;">
              <v:fill on="f" focussize="0,0"/>
              <v:stroke on="f" weight="0.5pt"/>
              <v:imagedata o:title=""/>
              <o:lock v:ext="edit" aspectratio="f"/>
              <v:textbox inset="0mm,0mm,0mm,0mm" style="mso-fit-shape-to-text:t;">
                <w:txbxContent>
                  <w:p w14:paraId="642536F0">
                    <w:pPr>
                      <w:pStyle w:val="3"/>
                      <w:rPr>
                        <w:rFonts w:ascii="Times New Roman" w:hAnsi="Times New Roman" w:cs="Times New Roman"/>
                        <w:sz w:val="24"/>
                      </w:rPr>
                    </w:pPr>
                    <w:r>
                      <w:rPr>
                        <w:rFonts w:hint="eastAsia" w:ascii="Times New Roman" w:hAnsi="Times New Roman" w:cs="Times New Roman"/>
                        <w:sz w:val="24"/>
                      </w:rPr>
                      <w:t>— —</w:t>
                    </w:r>
                  </w:p>
                </w:txbxContent>
              </v:textbox>
            </v:shape>
          </w:pict>
        </mc:Fallback>
      </mc:AlternateContent>
    </w:r>
  </w:p>
  <w:p w14:paraId="47488B3D">
    <w:pPr>
      <w:pBdr>
        <w:top w:val="none" w:color="auto" w:sz="0" w:space="1"/>
        <w:left w:val="none" w:color="auto" w:sz="0" w:space="4"/>
        <w:bottom w:val="none" w:color="auto" w:sz="0" w:space="1"/>
        <w:right w:val="none" w:color="auto" w:sz="0" w:space="4"/>
      </w:pBdr>
      <w:snapToGrid w:val="0"/>
      <w:spacing w:line="100" w:lineRule="exact"/>
      <w:rPr>
        <w:rFonts w:hint="eastAsia"/>
        <w:sz w:val="18"/>
      </w:rPr>
    </w:pPr>
  </w:p>
  <w:p w14:paraId="07B5D7EA">
    <w:pPr>
      <w:pBdr>
        <w:top w:val="none" w:color="auto" w:sz="0" w:space="1"/>
        <w:left w:val="none" w:color="auto" w:sz="0" w:space="4"/>
        <w:bottom w:val="none" w:color="auto" w:sz="0" w:space="1"/>
        <w:right w:val="none" w:color="auto" w:sz="0" w:space="4"/>
      </w:pBdr>
      <w:snapToGrid w:val="0"/>
      <w:spacing w:line="100" w:lineRule="exact"/>
      <w:rPr>
        <w:rFonts w:hint="eastAsia"/>
        <w:sz w:val="18"/>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190BD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374B8DFE">
          <w:pPr>
            <w:snapToGrid w:val="0"/>
            <w:rPr>
              <w:sz w:val="18"/>
            </w:rPr>
          </w:pPr>
        </w:p>
      </w:tc>
    </w:tr>
  </w:tbl>
  <w:p w14:paraId="4B5BD3B7">
    <w:pPr>
      <w:pBdr>
        <w:top w:val="none" w:color="auto" w:sz="0" w:space="1"/>
        <w:left w:val="none" w:color="auto" w:sz="0" w:space="4"/>
        <w:bottom w:val="none" w:color="auto" w:sz="0" w:space="1"/>
        <w:right w:val="none" w:color="auto" w:sz="0" w:space="4"/>
      </w:pBdr>
      <w:snapToGrid w:val="0"/>
      <w:spacing w:line="20" w:lineRule="exact"/>
      <w:rPr>
        <w:sz w:val="18"/>
      </w:rPr>
    </w:pPr>
    <w:r>
      <w:rPr>
        <w:sz w:val="1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-1270</wp:posOffset>
              </wp:positionV>
              <wp:extent cx="2739390" cy="320040"/>
              <wp:effectExtent l="0" t="0" r="0" b="3810"/>
              <wp:wrapNone/>
              <wp:docPr id="9" name="文本框 9"/>
              <wp:cNvGraphicFramePr/>
              <a:graphic xmlns:a="http://schemas.openxmlformats.org/drawingml/2006/main">
                <a:graphicData uri="http://schemas.microsoft.com/office/word/2010/wordprocessingShape">
                  <wps:wsp>
                    <wps:cNvSpPr txBox="1"/>
                    <wps:spPr>
                      <a:xfrm>
                        <a:off x="0" y="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F25E6">
                          <w:pPr>
                            <w:snapToGrid w:val="0"/>
                            <w:jc w:val="center"/>
                            <w:rPr>
                              <w:sz w:val="28"/>
                              <w:szCs w:val="28"/>
                            </w:rPr>
                          </w:pPr>
                          <w:r>
                            <w:rPr>
                              <w:rFonts w:hint="eastAsia" w:asciiTheme="minorEastAsia" w:hAnsiTheme="minorEastAsia" w:cstheme="minorEastAsia"/>
                              <w:sz w:val="28"/>
                              <w:szCs w:val="28"/>
                            </w:rPr>
                            <w:t>安徽省医疗保障局发布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0.1pt;height:25.2pt;width:215.7pt;z-index:251663360;mso-width-relative:page;mso-height-relative:page;" filled="f" stroked="f" coordsize="21600,21600" o:gfxdata="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l5MSDXAAAABgEAAA8AAAAAAAAAAQAgAAAAIgAA&#10;AGRycy9kb3ducmV2LnhtbFBLAQIUABQAAAAIAIdO4kClbYJwQgIAAHQEAAAOAAAAAAAAAAEAIAAA&#10;ACYBAABkcnMvZTJvRG9jLnhtbFBLBQYAAAAABgAGAFkBAADaBQAAAAA=&#10;">
              <v:fill on="f" focussize="0,0"/>
              <v:stroke on="f" weight="0.5pt"/>
              <v:imagedata o:title=""/>
              <o:lock v:ext="edit" aspectratio="f"/>
              <v:textbox>
                <w:txbxContent>
                  <w:p w14:paraId="286F25E6">
                    <w:pPr>
                      <w:snapToGrid w:val="0"/>
                      <w:jc w:val="center"/>
                      <w:rPr>
                        <w:sz w:val="28"/>
                        <w:szCs w:val="28"/>
                      </w:rPr>
                    </w:pPr>
                    <w:r>
                      <w:rPr>
                        <w:rFonts w:hint="eastAsia" w:asciiTheme="minorEastAsia" w:hAnsiTheme="minorEastAsia" w:cstheme="minorEastAsia"/>
                        <w:sz w:val="28"/>
                        <w:szCs w:val="28"/>
                      </w:rPr>
                      <w:t>安徽省医疗保障局发布</w:t>
                    </w:r>
                  </w:p>
                </w:txbxContent>
              </v:textbox>
            </v:shape>
          </w:pict>
        </mc:Fallback>
      </mc:AlternateContent>
    </w:r>
  </w:p>
  <w:p w14:paraId="4557442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55C6">
    <w:pPr>
      <w:pStyle w:val="4"/>
      <w:snapToGrid/>
      <w:spacing w:before="168" w:beforeLines="70"/>
    </w:pPr>
    <w: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3048635" cy="320040"/>
              <wp:effectExtent l="0" t="0" r="0" b="0"/>
              <wp:wrapNone/>
              <wp:docPr id="2" name="文本框 2"/>
              <wp:cNvGraphicFramePr/>
              <a:graphic xmlns:a="http://schemas.openxmlformats.org/drawingml/2006/main">
                <a:graphicData uri="http://schemas.microsoft.com/office/word/2010/wordprocessingShape">
                  <wps:wsp>
                    <wps:cNvSpPr txBox="1"/>
                    <wps:spPr>
                      <a:xfrm>
                        <a:off x="1283335" y="746760"/>
                        <a:ext cx="3048635"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6439">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40.05pt;z-index:251659264;mso-width-relative:page;mso-height-relative:page;" filled="f" stroked="f" coordsize="21600,21600" o:gfxdata="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O9rAnaAAAACAEAAA8AAAAAAAAAAQAg&#10;AAAAIgAAAGRycy9kb3ducmV2LnhtbFBLAQIUABQAAAAIAIdO4kAJjB+wRQIAAHEEAAAOAAAAAAAA&#10;AAEAIAAAACkBAABkcnMvZTJvRG9jLnhtbFBLBQYAAAAABgAGAFkBAADgBQAAAAA=&#10;">
              <v:fill on="f" focussize="0,0"/>
              <v:stroke on="f" weight="0.5pt"/>
              <v:imagedata o:title=""/>
              <o:lock v:ext="edit" aspectratio="f"/>
              <v:textbox>
                <w:txbxContent>
                  <w:p w14:paraId="6D6E6439">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14:paraId="072F377D">
    <w:pPr>
      <w:pStyle w:val="4"/>
    </w:pPr>
    <w:r>
      <w:rPr>
        <w:rFonts w:hint="eastAsia"/>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14:paraId="3151B486">
    <w:pPr>
      <w:pStyle w:val="4"/>
      <w:spacing w:line="100" w:lineRule="exact"/>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1C60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59E5693B">
          <w:pPr>
            <w:pStyle w:val="4"/>
            <w:pBdr>
              <w:top w:val="none" w:color="auto" w:sz="0" w:space="0"/>
              <w:left w:val="none" w:color="auto" w:sz="0" w:space="0"/>
              <w:bottom w:val="none" w:color="auto" w:sz="0" w:space="0"/>
              <w:right w:val="none" w:color="auto" w:sz="0" w:space="0"/>
            </w:pBdr>
          </w:pPr>
        </w:p>
      </w:tc>
    </w:tr>
  </w:tbl>
  <w:p w14:paraId="5890CE03">
    <w:pPr>
      <w:pStyle w:val="4"/>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F080">
    <w:pPr>
      <w:pBdr>
        <w:top w:val="none" w:color="auto" w:sz="0" w:space="1"/>
        <w:left w:val="none" w:color="auto" w:sz="0" w:space="4"/>
        <w:bottom w:val="none" w:color="auto" w:sz="0" w:space="1"/>
        <w:right w:val="none" w:color="auto" w:sz="0" w:space="4"/>
      </w:pBdr>
      <w:spacing w:before="168" w:beforeLines="70"/>
      <w:rPr>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224155</wp:posOffset>
              </wp:positionV>
              <wp:extent cx="3000375" cy="320040"/>
              <wp:effectExtent l="0" t="0" r="0" b="0"/>
              <wp:wrapNone/>
              <wp:docPr id="3" name="文本框 3"/>
              <wp:cNvGraphicFramePr/>
              <a:graphic xmlns:a="http://schemas.openxmlformats.org/drawingml/2006/main">
                <a:graphicData uri="http://schemas.microsoft.com/office/word/2010/wordprocessingShape">
                  <wps:wsp>
                    <wps:cNvSpPr txBox="1"/>
                    <wps:spPr>
                      <a:xfrm>
                        <a:off x="1283335" y="746760"/>
                        <a:ext cx="300037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1FC6E">
                          <w:pPr>
                            <w:snapToGrid w:val="0"/>
                          </w:pPr>
                          <w:r>
                            <w:rPr>
                              <w:rFonts w:hint="eastAsia" w:asciiTheme="minorEastAsia" w:hAnsiTheme="minorEastAsia" w:cstheme="minorEastAsia"/>
                              <w:sz w:val="32"/>
                              <w:szCs w:val="32"/>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36.25pt;z-index:251660288;mso-width-relative:page;mso-height-relative:page;" filled="f" stroked="f" coordsize="21600,21600" o:gfxdata="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IPvd9oAAAAIAQAADwAA&#10;AAAAAAABACAAAAAiAAAAZHJzL2Rvd25yZXYueG1sUEsBAhQAFAAAAAgAh07iQJ7phYxNAgAAfwQA&#10;AA4AAAAAAAAAAQAgAAAAKQEAAGRycy9lMm9Eb2MueG1sUEsFBgAAAAAGAAYAWQEAAOgFAAAAAA==&#10;">
              <v:fill on="f" focussize="0,0"/>
              <v:stroke on="f" weight="0.5pt"/>
              <v:imagedata o:title=""/>
              <o:lock v:ext="edit" aspectratio="f"/>
              <v:textbox>
                <w:txbxContent>
                  <w:p w14:paraId="4201FC6E">
                    <w:pPr>
                      <w:snapToGrid w:val="0"/>
                    </w:pPr>
                    <w:r>
                      <w:rPr>
                        <w:rFonts w:hint="eastAsia" w:asciiTheme="minorEastAsia" w:hAnsiTheme="minorEastAsia" w:cstheme="minorEastAsia"/>
                        <w:sz w:val="32"/>
                        <w:szCs w:val="32"/>
                      </w:rPr>
                      <w:t>安徽省医疗保障局规范性文件</w:t>
                    </w:r>
                  </w:p>
                </w:txbxContent>
              </v:textbox>
            </v:shape>
          </w:pict>
        </mc:Fallback>
      </mc:AlternateContent>
    </w:r>
  </w:p>
  <w:p w14:paraId="4B79EE43">
    <w:pPr>
      <w:pBdr>
        <w:top w:val="none" w:color="auto" w:sz="0" w:space="1"/>
        <w:left w:val="none" w:color="auto" w:sz="0" w:space="4"/>
        <w:bottom w:val="none" w:color="auto" w:sz="0" w:space="1"/>
        <w:right w:val="none" w:color="auto" w:sz="0" w:space="4"/>
      </w:pBdr>
      <w:snapToGrid w:val="0"/>
      <w:rPr>
        <w:sz w:val="18"/>
      </w:rPr>
    </w:pPr>
    <w:r>
      <w:rPr>
        <w:rFonts w:hint="eastAsia"/>
        <w:sz w:val="18"/>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14:paraId="305D1F3C">
    <w:pPr>
      <w:pBdr>
        <w:top w:val="none" w:color="auto" w:sz="0" w:space="1"/>
        <w:left w:val="none" w:color="auto" w:sz="0" w:space="4"/>
        <w:bottom w:val="none" w:color="auto" w:sz="0" w:space="1"/>
        <w:right w:val="none" w:color="auto" w:sz="0" w:space="4"/>
      </w:pBdr>
      <w:snapToGrid w:val="0"/>
      <w:spacing w:line="100" w:lineRule="exact"/>
      <w:rPr>
        <w:sz w:val="18"/>
      </w:rPr>
    </w:pPr>
  </w:p>
  <w:tbl>
    <w:tblPr>
      <w:tblStyle w:val="7"/>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14:paraId="597E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tcPr>
        <w:p w14:paraId="5D1D04E2">
          <w:pPr>
            <w:snapToGrid w:val="0"/>
            <w:rPr>
              <w:sz w:val="18"/>
            </w:rPr>
          </w:pPr>
        </w:p>
      </w:tc>
    </w:tr>
  </w:tbl>
  <w:p w14:paraId="769E0B86">
    <w:pPr>
      <w:pBdr>
        <w:top w:val="none" w:color="auto" w:sz="0" w:space="1"/>
        <w:left w:val="none" w:color="auto" w:sz="0" w:space="4"/>
        <w:bottom w:val="none" w:color="auto" w:sz="0" w:space="1"/>
        <w:right w:val="none" w:color="auto" w:sz="0" w:space="4"/>
      </w:pBdr>
      <w:snapToGrid w:val="0"/>
      <w:spacing w:line="20" w:lineRule="exact"/>
      <w:rPr>
        <w:sz w:val="18"/>
      </w:rPr>
    </w:pPr>
  </w:p>
  <w:p w14:paraId="17BAF0E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30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1A4"/>
    <w:rsid w:val="004C12BB"/>
    <w:rsid w:val="00552498"/>
    <w:rsid w:val="005C58D0"/>
    <w:rsid w:val="055941A4"/>
    <w:rsid w:val="09A6701A"/>
    <w:rsid w:val="0A1A6F23"/>
    <w:rsid w:val="176F3141"/>
    <w:rsid w:val="1A8B6E80"/>
    <w:rsid w:val="273D4C45"/>
    <w:rsid w:val="413879C4"/>
    <w:rsid w:val="4B9004B5"/>
    <w:rsid w:val="503F0BFC"/>
    <w:rsid w:val="5463135D"/>
    <w:rsid w:val="70A1703D"/>
    <w:rsid w:val="73CD15F8"/>
    <w:rsid w:val="7A1545F8"/>
    <w:rsid w:val="7F3EA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qFormat/>
    <w:uiPriority w:val="0"/>
    <w:rPr>
      <w:kern w:val="2"/>
      <w:sz w:val="18"/>
      <w:szCs w:val="18"/>
    </w:rPr>
  </w:style>
  <w:style w:type="character" w:customStyle="1" w:styleId="10">
    <w:name w:val="18"/>
    <w:basedOn w:val="8"/>
    <w:qFormat/>
    <w:uiPriority w:val="0"/>
    <w:rPr>
      <w:rFonts w:hint="eastAsia" w:ascii="宋体" w:hAnsi="宋体" w:eastAsia="宋体" w:cs="宋体"/>
      <w:b/>
      <w:bCs/>
      <w:color w:val="FF0000"/>
      <w:sz w:val="28"/>
      <w:szCs w:val="28"/>
    </w:rPr>
  </w:style>
  <w:style w:type="character" w:customStyle="1" w:styleId="11">
    <w:name w:val="16"/>
    <w:basedOn w:val="8"/>
    <w:qFormat/>
    <w:uiPriority w:val="0"/>
    <w:rPr>
      <w:rFonts w:hint="eastAsia" w:ascii="宋体" w:hAnsi="宋体" w:eastAsia="宋体" w:cs="宋体"/>
      <w:color w:val="000000"/>
      <w:sz w:val="28"/>
      <w:szCs w:val="28"/>
    </w:rPr>
  </w:style>
  <w:style w:type="character" w:customStyle="1" w:styleId="12">
    <w:name w:val="15"/>
    <w:basedOn w:val="8"/>
    <w:qFormat/>
    <w:uiPriority w:val="0"/>
    <w:rPr>
      <w:rFonts w:hint="eastAsia" w:ascii="宋体" w:hAnsi="宋体" w:eastAsia="宋体" w:cs="宋体"/>
      <w:color w:val="FF0000"/>
      <w:sz w:val="28"/>
      <w:szCs w:val="28"/>
    </w:rPr>
  </w:style>
  <w:style w:type="character" w:customStyle="1" w:styleId="13">
    <w:name w:val="17"/>
    <w:basedOn w:val="8"/>
    <w:qFormat/>
    <w:uiPriority w:val="0"/>
    <w:rPr>
      <w:rFonts w:hint="default" w:ascii="Calibri" w:hAnsi="Calibri" w:cs="Calibri"/>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11</Pages>
  <Words>4798</Words>
  <Characters>4845</Characters>
  <Lines>1</Lines>
  <Paragraphs>1</Paragraphs>
  <TotalTime>4</TotalTime>
  <ScaleCrop>false</ScaleCrop>
  <LinksUpToDate>false</LinksUpToDate>
  <CharactersWithSpaces>4857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2022-11-22T09:59:00Z</dcterms:created>
  <dc:creator>ntko</dc:creator>
  <cp:lastModifiedBy>Susie</cp:lastModifiedBy>
  <dcterms:modified xsi:type="dcterms:W3CDTF">2025-08-08T08:57:58Z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eyJoZGlkIjoiNWE5Mjc4MjI0MDY2NTU0NmY5YzM0YTU3NmM5Zjc5Y2UiLCJ1c2VySWQiOiIxMjMyOTAyODM4In0=</vt:lpwstr>
  </property>
  <property fmtid="{D5CDD505-2E9C-101B-9397-08002B2CF9AE}" pid="4" name="ICV">
    <vt:lpwstr>98DA028A72C547CB829CD7DAB678F082_13</vt:lpwstr>
  </property>
</Properties>
</file>