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31EE">
      <w:pPr>
        <w:pStyle w:val="8"/>
        <w:adjustRightInd w:val="0"/>
        <w:snapToGrid w:val="0"/>
        <w:spacing w:before="0" w:after="0" w:line="360" w:lineRule="auto"/>
        <w:jc w:val="both"/>
        <w:outlineLvl w:val="9"/>
        <w:rPr>
          <w:rFonts w:hint="eastAsia" w:cs="仿宋_GB2312" w:asciiTheme="majorEastAsia" w:hAnsiTheme="majorEastAsia" w:eastAsiaTheme="majorEastAsia"/>
          <w:b w:val="0"/>
          <w:sz w:val="32"/>
          <w:szCs w:val="32"/>
          <w:lang w:eastAsia="zh-CN"/>
        </w:rPr>
      </w:pPr>
      <w:r>
        <w:rPr>
          <w:rFonts w:hint="eastAsia" w:cs="仿宋_GB2312" w:asciiTheme="majorEastAsia" w:hAnsiTheme="majorEastAsia" w:eastAsiaTheme="majorEastAsia"/>
          <w:b w:val="0"/>
          <w:sz w:val="32"/>
          <w:szCs w:val="32"/>
        </w:rPr>
        <w:t>附件</w:t>
      </w:r>
      <w:r>
        <w:rPr>
          <w:rFonts w:hint="eastAsia" w:cs="仿宋_GB2312" w:asciiTheme="majorEastAsia" w:hAnsiTheme="majorEastAsia" w:eastAsiaTheme="majorEastAsia"/>
          <w:b w:val="0"/>
          <w:sz w:val="32"/>
          <w:szCs w:val="32"/>
          <w:lang w:val="en-US" w:eastAsia="zh-CN"/>
        </w:rPr>
        <w:t>2</w:t>
      </w:r>
    </w:p>
    <w:p w14:paraId="1B7D15B2">
      <w:pPr>
        <w:pStyle w:val="8"/>
        <w:adjustRightInd w:val="0"/>
        <w:snapToGrid w:val="0"/>
        <w:spacing w:before="0" w:after="0" w:line="360" w:lineRule="auto"/>
        <w:outlineLvl w:val="9"/>
        <w:rPr>
          <w:rFonts w:ascii="华文中宋" w:hAnsi="华文中宋" w:eastAsia="华文中宋" w:cs="华文中宋"/>
          <w:szCs w:val="44"/>
        </w:rPr>
      </w:pPr>
      <w:r>
        <w:rPr>
          <w:rFonts w:hint="eastAsia" w:ascii="华文中宋" w:hAnsi="华文中宋" w:eastAsia="华文中宋" w:cs="华文中宋"/>
          <w:szCs w:val="44"/>
          <w:lang w:eastAsia="zh-CN"/>
        </w:rPr>
        <w:t>黄山区龙门乡人民政府</w:t>
      </w:r>
      <w:r>
        <w:rPr>
          <w:rFonts w:hint="eastAsia" w:ascii="华文中宋" w:hAnsi="华文中宋" w:eastAsia="华文中宋" w:cs="华文中宋"/>
          <w:szCs w:val="44"/>
        </w:rPr>
        <w:t>部门绩效</w:t>
      </w:r>
      <w:r>
        <w:rPr>
          <w:rFonts w:hint="eastAsia" w:ascii="华文中宋" w:hAnsi="华文中宋" w:eastAsia="华文中宋" w:cs="华文中宋"/>
          <w:szCs w:val="44"/>
          <w:lang w:eastAsia="zh-CN"/>
        </w:rPr>
        <w:t>自评</w:t>
      </w:r>
      <w:r>
        <w:rPr>
          <w:rFonts w:hint="eastAsia" w:ascii="华文中宋" w:hAnsi="华文中宋" w:eastAsia="华文中宋" w:cs="华文中宋"/>
          <w:szCs w:val="44"/>
        </w:rPr>
        <w:t>报告</w:t>
      </w:r>
    </w:p>
    <w:p w14:paraId="70C24521">
      <w:pPr>
        <w:numPr>
          <w:ilvl w:val="0"/>
          <w:numId w:val="1"/>
        </w:numPr>
        <w:spacing w:line="480" w:lineRule="auto"/>
        <w:ind w:firstLine="630" w:firstLineChars="196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绩效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自评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工作组织实施情况</w:t>
      </w:r>
      <w:bookmarkStart w:id="0" w:name="_GoBack"/>
      <w:bookmarkEnd w:id="0"/>
    </w:p>
    <w:p w14:paraId="2742823D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eastAsiaTheme="minorEastAsia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此次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预算绩效自评，涉及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预算总金额1178.21万元，其中基本支出601.71万元，项目支出576.5万元，包含自评项目16个，主要涉及安全生产、综治信访、民生工程等各项工作。龙门乡积极开展绩效自评工作，由乡经发办牵头，各部门积极配合，根据项目涉及部门工作开展情况，对项目绩效和整体绩效进行自评。</w:t>
      </w:r>
    </w:p>
    <w:p w14:paraId="4890D3B0">
      <w:pPr>
        <w:numPr>
          <w:ilvl w:val="0"/>
          <w:numId w:val="1"/>
        </w:numPr>
        <w:spacing w:line="480" w:lineRule="auto"/>
        <w:ind w:firstLine="630" w:firstLineChars="196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预算执行</w:t>
      </w:r>
      <w:r>
        <w:rPr>
          <w:rFonts w:ascii="仿宋_GB2312" w:eastAsia="仿宋_GB2312" w:cs="仿宋_GB2312"/>
          <w:b/>
          <w:bCs/>
          <w:sz w:val="32"/>
          <w:szCs w:val="32"/>
        </w:rPr>
        <w:t>进度和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绩效目标</w:t>
      </w:r>
      <w:r>
        <w:rPr>
          <w:rFonts w:ascii="仿宋_GB2312" w:eastAsia="仿宋_GB2312" w:cs="仿宋_GB2312"/>
          <w:b/>
          <w:bCs/>
          <w:sz w:val="32"/>
          <w:szCs w:val="32"/>
        </w:rPr>
        <w:t>运行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情况</w:t>
      </w:r>
    </w:p>
    <w:p w14:paraId="52D49604">
      <w:pPr>
        <w:numPr>
          <w:ilvl w:val="0"/>
          <w:numId w:val="2"/>
        </w:numPr>
        <w:spacing w:line="480" w:lineRule="auto"/>
        <w:ind w:firstLine="480" w:firstLineChars="1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预算执行进度情况及趋势分析</w:t>
      </w:r>
    </w:p>
    <w:p w14:paraId="7E902FDF">
      <w:pPr>
        <w:numPr>
          <w:ilvl w:val="0"/>
          <w:numId w:val="0"/>
        </w:numPr>
        <w:spacing w:line="480" w:lineRule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此次预算绩效自评，涉及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预算总金额1178.21万元，2024年1-12月预算执行数为1048.07万元，执行率为88.95%，预计全年预算执行率能达到80%,未完成100%的原因主要是一是厉行节约；二是扶持企业发展支出减少。</w:t>
      </w:r>
    </w:p>
    <w:p w14:paraId="4B9C6735">
      <w:pPr>
        <w:numPr>
          <w:ilvl w:val="0"/>
          <w:numId w:val="2"/>
        </w:numPr>
        <w:spacing w:line="480" w:lineRule="auto"/>
        <w:ind w:left="0" w:leftChars="0" w:firstLine="480" w:firstLineChars="1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绩效目标实现程度及趋势分析</w:t>
      </w:r>
    </w:p>
    <w:p w14:paraId="31CFA9B5">
      <w:pPr>
        <w:pStyle w:val="2"/>
        <w:ind w:left="0" w:leftChars="0" w:firstLine="0" w:firstLineChars="0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lang w:val="en-US" w:eastAsia="zh-CN"/>
        </w:rPr>
        <w:t xml:space="preserve"> 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-SA"/>
        </w:rPr>
        <w:t xml:space="preserve">    年度绩效目标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预计基本完成。</w:t>
      </w:r>
    </w:p>
    <w:p w14:paraId="248EBD74">
      <w:pPr>
        <w:numPr>
          <w:ilvl w:val="0"/>
          <w:numId w:val="1"/>
        </w:numPr>
        <w:spacing w:line="480" w:lineRule="auto"/>
        <w:ind w:firstLine="630" w:firstLineChars="196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存在的主要问题及原因分析</w:t>
      </w:r>
    </w:p>
    <w:p w14:paraId="76EC5B87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一是预算绩效管理有待进一步规范。虽然我镇绩效评价工作已经开展，但绩效评价的质量还不高，没有建立完整的预算绩效管理制度。二是评价指标体系需要进一步完善。财政支出评价对象涉及行业多，项目之间差异性大，目前虽然中央已经发布共性指标，但真正能体现项目效果的个性指标，由于设置难度较大，还不能满足目前工作开展需要。三是人员素质有待进一步提高。由于预算绩效管理工作开展时间较短，加上缺乏系统的培训，各部门工作人员对预算绩效管理认识不到位、理解不充分，对预算绩效管理业务不了解、不熟悉，对工作重点把握不到位。</w:t>
      </w:r>
    </w:p>
    <w:p w14:paraId="18FB957C">
      <w:pPr>
        <w:numPr>
          <w:ilvl w:val="0"/>
          <w:numId w:val="1"/>
        </w:numPr>
        <w:spacing w:line="480" w:lineRule="auto"/>
        <w:ind w:left="0" w:leftChars="0" w:firstLine="630" w:firstLineChars="196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下一步改进工作的举措</w:t>
      </w:r>
    </w:p>
    <w:p w14:paraId="3039193A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（一）不断规范预算绩效管理。建立健全预算绩效管理制度，由财政部门牵头，政府各部门相互配合，对部门整体预算和项目预算的执行情况进行整体流程监督，提高预算绩效管理的质量和水平。</w:t>
      </w:r>
    </w:p>
    <w:p w14:paraId="39E34407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二）加强评价指标体系建设。一是汇总梳理以前年度制定的指标，将符合当前预算绩效管理要求和行业管理特点的个性指标汇编成库；二是搜集整理其他地区制定的指标，进一步充实完善个性指标库；三是建立指标更新机制，将以后年度新制定的指标及时纳入指标库，做到随时更新、完善。</w:t>
      </w:r>
    </w:p>
    <w:p w14:paraId="18253723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三）积极运用绩效评价结果。建立绩效评价结果的反馈与整改、激励与问责制度，进一步完善绩效评价结果的反馈和运用机制。将评价结果作为安排以后年度预算的重要依据，将绩效评价结果不好的项目预算进行削减或取消，切实发挥绩效评价工作的应有作用。   </w:t>
      </w:r>
    </w:p>
    <w:p w14:paraId="0320F47A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（四）加强培训和指导。加大对各部门参与绩效评价的人员培训力度，进一步统一认识，充实业务知识。</w:t>
      </w:r>
    </w:p>
    <w:p w14:paraId="6043BD3C">
      <w:pPr>
        <w:spacing w:line="480" w:lineRule="auto"/>
        <w:ind w:firstLine="630" w:firstLineChars="196"/>
        <w:rPr>
          <w:rFonts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五、其他需要说明的问题</w:t>
      </w:r>
    </w:p>
    <w:p w14:paraId="446823CE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58" w:bottom="141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9DCA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8E66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212C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C95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122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28E3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20C90"/>
    <w:multiLevelType w:val="singleLevel"/>
    <w:tmpl w:val="5D720C9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750E42B7"/>
    <w:multiLevelType w:val="singleLevel"/>
    <w:tmpl w:val="750E42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C3F3B"/>
    <w:rsid w:val="000A6179"/>
    <w:rsid w:val="005A10FC"/>
    <w:rsid w:val="00826E52"/>
    <w:rsid w:val="00D24264"/>
    <w:rsid w:val="027C19BC"/>
    <w:rsid w:val="05835225"/>
    <w:rsid w:val="13717ABE"/>
    <w:rsid w:val="149204FD"/>
    <w:rsid w:val="19E35711"/>
    <w:rsid w:val="2D917020"/>
    <w:rsid w:val="3309263C"/>
    <w:rsid w:val="356A2373"/>
    <w:rsid w:val="49997A26"/>
    <w:rsid w:val="525269C9"/>
    <w:rsid w:val="5ECC153F"/>
    <w:rsid w:val="605A42AA"/>
    <w:rsid w:val="61A823A5"/>
    <w:rsid w:val="68822739"/>
    <w:rsid w:val="6A385F14"/>
    <w:rsid w:val="6AD96F93"/>
    <w:rsid w:val="6B1C3F3B"/>
    <w:rsid w:val="6CB8683B"/>
    <w:rsid w:val="6D43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kern w:val="0"/>
      <w:szCs w:val="32"/>
    </w:rPr>
  </w:style>
  <w:style w:type="paragraph" w:customStyle="1" w:styleId="8">
    <w:name w:val="办公自动化专用标题"/>
    <w:basedOn w:val="5"/>
    <w:qFormat/>
    <w:uiPriority w:val="0"/>
    <w:pPr>
      <w:spacing w:line="560" w:lineRule="atLeast"/>
    </w:pPr>
    <w:rPr>
      <w:rFonts w:ascii="宋体" w:hAnsi="Arial" w:cs="Times New Roman"/>
      <w:bCs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1012</Characters>
  <Lines>1</Lines>
  <Paragraphs>1</Paragraphs>
  <TotalTime>126</TotalTime>
  <ScaleCrop>false</ScaleCrop>
  <LinksUpToDate>false</LinksUpToDate>
  <CharactersWithSpaces>1020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2019-12-30T02:09:00Z</dcterms:created>
  <dc:creator>刘璐</dc:creator>
  <cp:lastModifiedBy>阿酸~九</cp:lastModifiedBy>
  <cp:lastPrinted>2021-12-21T02:18:00Z</cp:lastPrinted>
  <dcterms:modified xsi:type="dcterms:W3CDTF">2025-09-08T07:04:16Z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E77AC71C5088413FBEF455389B597EBA</vt:lpwstr>
  </property>
  <property fmtid="{D5CDD505-2E9C-101B-9397-08002B2CF9AE}" pid="4" name="KSOTemplateDocerSaveRecord">
    <vt:lpwstr>eyJoZGlkIjoiNGUxNDc3YTE4MjEwNGJjY2FhZDg1NTNmNjI4M2E1ZWMiLCJ1c2VySWQiOiI1OTc3NjU0NzUifQ==</vt:lpwstr>
  </property>
</Properties>
</file>