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A6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《新华乡机关发文管理制度》</w:t>
      </w:r>
    </w:p>
    <w:p w14:paraId="472B16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0E04DC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为进一步提高新华乡公文处理工作的质量和效率，促进公文办理规范化、制度化、程序化和科学化，根据《</w:t>
      </w:r>
      <w:r>
        <w:rPr>
          <w:rFonts w:hint="eastAsia" w:ascii="仿宋" w:hAnsi="仿宋" w:eastAsia="仿宋" w:cs="仿宋"/>
          <w:sz w:val="32"/>
          <w:szCs w:val="32"/>
        </w:rPr>
        <w:t>党政机关公文处理工作条例》等规定，特制定本制度。</w:t>
      </w:r>
    </w:p>
    <w:p w14:paraId="51BA8C9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一、行文规则</w:t>
      </w:r>
    </w:p>
    <w:p w14:paraId="7DBEAA5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严格按照《党政机关公文处理工作条例》有关规定，规范公文的文种、用语和体例。</w:t>
      </w:r>
    </w:p>
    <w:p w14:paraId="05B3A2F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（一）上行文</w:t>
      </w:r>
    </w:p>
    <w:p w14:paraId="2DFE103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指下级机关向所属上级机关的发文，如请示、报告。其行文方向有逐级行文、多级行文、越级行文三种。我乡上行文对象主要是区委、区政府。</w:t>
      </w:r>
    </w:p>
    <w:p w14:paraId="0D74118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1.需向区委区政府汇报工作、反映情况或答复询问的，一律使用“报告”；需区委区政府对某项工作、问题作出指示，对某事予以审核批准时，一律使用“请示”。</w:t>
      </w:r>
    </w:p>
    <w:p w14:paraId="563C370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2.“报告”不得夹带请示事项，凡报告性公文中涉及人员、编制、土地、规划、经费等具体工作事项的建议，一律视为报告中夹带请示事项，应使用“请示”。</w:t>
      </w:r>
    </w:p>
    <w:p w14:paraId="73020DA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3.主送区委区政府的“请示”和“报告”必须由党委书记或乡长签发，并标注签发人。</w:t>
      </w:r>
    </w:p>
    <w:p w14:paraId="172E7CA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4.主送区委区政府的“请示”，应当一事一文，不得同时主送其他机关，确需同时送其他机关的，应当用抄送方式。</w:t>
      </w:r>
    </w:p>
    <w:p w14:paraId="6527260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5.向区委区政府报送的所有公文必须制发成正式文件。</w:t>
      </w:r>
    </w:p>
    <w:p w14:paraId="2C3E6C3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（二）平行文</w:t>
      </w:r>
    </w:p>
    <w:p w14:paraId="1921C4C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平行文是指平行机关或不相隶属的机关之间的发文，主要是函，也包括一些通知、通报、纪要。平行机关指职能与功能平等运行的机关，如其他各乡镇、各乡级部门等。</w:t>
      </w:r>
    </w:p>
    <w:p w14:paraId="57D0804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（三）下行文</w:t>
      </w:r>
    </w:p>
    <w:p w14:paraId="28BEE64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下行文是指上级机关对所属下级机关的发文，如意见、决定、决议、通知、通报、批复等。</w:t>
      </w:r>
    </w:p>
    <w:p w14:paraId="3864FBF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二、发文办理</w:t>
      </w:r>
    </w:p>
    <w:p w14:paraId="6249BBC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（一）拟稿及签批</w:t>
      </w:r>
    </w:p>
    <w:p w14:paraId="4957BF0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凡是以乡党委、政府名义所发文件，由涉及的部门具体经办人员进行拟稿校对，报分管领导核稿签字，呈乡党政主要领导签发，再转党政办公室进行排版发文。</w:t>
      </w:r>
    </w:p>
    <w:p w14:paraId="7DA974B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由乡党委、政府名义向上级政府报送的请示、报告等上行文，必须严格分开类别，由涉及部门具体经办人员拟稿校对，经分管领导核稿签字后呈乡党政主要领导签发。</w:t>
      </w:r>
    </w:p>
    <w:p w14:paraId="24689C5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（二）发文流程</w:t>
      </w:r>
    </w:p>
    <w:p w14:paraId="74DD1CF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凡发、送、报、抄上级机关或下级的公文，实行一个“窗口”对外，“一个口子发文、一文一档管文”工作要求，规范落实办文，统一由党政办印发。其他部门一般不得直接发文办理。</w:t>
      </w:r>
    </w:p>
    <w:p w14:paraId="55EABDC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公文实行部门承办，具体经办人、分管领导、主要领导“一校二审”制度，其办理流程如下：</w:t>
      </w:r>
    </w:p>
    <w:p w14:paraId="11EC4AA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1.由部门具体经办人按照工作要求以及公文处理格式严格拟稿；</w:t>
      </w:r>
    </w:p>
    <w:p w14:paraId="7A762F4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2.由部门具体经办人拟稿校对后并在发文纸上签上拟稿人，分管领导核稿后签字确认，交由部门具体经办人呈主要领导进行终审并签发；</w:t>
      </w:r>
    </w:p>
    <w:p w14:paraId="0E8CBA1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3.由部门具体经办人转交党政办负责发文人员调整格式、编号、登记后，送印、盖章。</w:t>
      </w:r>
    </w:p>
    <w:p w14:paraId="6C1CD0C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4.最后由部门具体经办人进行分发。</w:t>
      </w:r>
    </w:p>
    <w:p w14:paraId="143563E9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5.已签批的公文，由党政办统一登记编号，未签批的公文，一律不得分发。文件发送后，正本连同底稿交由党政办归档，底稿要清楚、完整，同时将电子版发党政办报备。</w:t>
      </w:r>
    </w:p>
    <w:p w14:paraId="61B2D779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三、工作要求</w:t>
      </w:r>
    </w:p>
    <w:p w14:paraId="10D91AF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新华乡公文发文处理工作实行责任制。部门具体经办人员是公文发文处理工作的第一责任人，分管领导是直接责任人。</w:t>
      </w:r>
    </w:p>
    <w:p w14:paraId="181268F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公文发文要精准高效，坚持切实解决实际问题、少而精的原则，少发文、发短文、发有效文。有以下几类情况的一律退回不予发文：一是照抄照搬、雷同度高的；二是单项工作可通过其他方式直接安排办理的；三是上级已公开发布的，不再层层转发；四是与省、市、区相关要求不符的。</w:t>
      </w:r>
    </w:p>
    <w:p w14:paraId="4B8DD7C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发文坚持“六要”：文字要精。认真推敲，力求精准，防止粗制滥造，不细不实；逻辑要严。逻辑严密，层次清晰，防止东拉西扯，天马行空；语言要简。言简意赅，提倡精炼，防止穿靴戴帽，拖沓冗长；内容要实。紧扣目标，立足实际，防止脱离实际，照搬照抄；审核要全。紧盯要求，逐项审核，防止签字代审，把关不严；校核要严。三校三签，朗读核对，防止敷衍过关，流于形式。</w:t>
      </w:r>
    </w:p>
    <w:p w14:paraId="40AD426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乡机关各业务部门要提高政治站位，切实履行责任，要认真学习，规范高效办文、拟文、发文，提高“以文辅政”能力水平，切实推动作风建设。</w:t>
      </w:r>
    </w:p>
    <w:p w14:paraId="25D4765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2025-12-16T03:26:23Z</dcterms:created>
  <dc:creator>Administrator</dc:creator>
  <cp:lastModifiedBy>11</cp:lastModifiedBy>
  <dcterms:modified xsi:type="dcterms:W3CDTF">2025-12-16T03:27:19Z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eyJoZGlkIjoiOTY0MDhhNWZkNzY2NmQ0YzhjOWNkMDU4MmM0YmQ5MGYifQ==</vt:lpwstr>
  </property>
  <property fmtid="{D5CDD505-2E9C-101B-9397-08002B2CF9AE}" pid="4" name="ICV">
    <vt:lpwstr>6507C29C222A436AB0EC53A1F3412907_12</vt:lpwstr>
  </property>
</Properties>
</file>